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0E4F" w14:textId="11DAB292" w:rsidR="00D37098" w:rsidRDefault="00000000" w:rsidP="00C25393">
      <w:pPr>
        <w:pStyle w:val="MdHeading1"/>
      </w:pPr>
      <w:r>
        <w:t>X-150 Gasification System: Comprehensive Technical and Business Guide</w:t>
      </w:r>
    </w:p>
    <w:p w14:paraId="25468CA2" w14:textId="77777777" w:rsidR="00D37098" w:rsidRDefault="00000000">
      <w:pPr>
        <w:pStyle w:val="MdHeading2"/>
      </w:pPr>
      <w:r>
        <w:t>Executive Summary</w:t>
      </w:r>
    </w:p>
    <w:p w14:paraId="1E8DE88A" w14:textId="0F010E5D" w:rsidR="00D37098" w:rsidRDefault="00000000">
      <w:pPr>
        <w:pStyle w:val="MdParagraph"/>
      </w:pPr>
      <w:r>
        <w:t xml:space="preserve">The </w:t>
      </w:r>
      <w:r>
        <w:rPr>
          <w:rStyle w:val="MdStrong"/>
        </w:rPr>
        <w:t>X-150 Gasification System</w:t>
      </w:r>
      <w:r>
        <w:t xml:space="preserve"> represents a breakthrough in distributed waste-to-energy technology, combining proven German engineering from MFC Multi Fuel Conversion GmbH with Zero-X Technologies' advanced research. This document provides a comprehensive overview of the X-150's technical capabilities, business applications, and commercial potential.</w:t>
      </w:r>
    </w:p>
    <w:p w14:paraId="451EA6C3" w14:textId="77777777" w:rsidR="00D37098" w:rsidRDefault="00D37098">
      <w:pPr>
        <w:pStyle w:val="MdSpace"/>
        <w:spacing w:after="60"/>
      </w:pPr>
    </w:p>
    <w:p w14:paraId="43F05C42" w14:textId="417448CC" w:rsidR="00D37098" w:rsidRDefault="00000000">
      <w:pPr>
        <w:pStyle w:val="MdParagraph"/>
      </w:pPr>
      <w:r>
        <w:t xml:space="preserve">The X-150 is a </w:t>
      </w:r>
      <w:r>
        <w:rPr>
          <w:rStyle w:val="MdStrong"/>
        </w:rPr>
        <w:t>modular, downdraft gasification platform</w:t>
      </w:r>
      <w:r>
        <w:t xml:space="preserve"> capable of converting up to 150 kg/hr (3.6 tonnes/day) of diverse waste feedstocks into clean syngas for multiple energy applications. </w:t>
      </w:r>
      <w:r w:rsidR="00C25393">
        <w:t>T</w:t>
      </w:r>
      <w:r>
        <w:t xml:space="preserve">he X-150 achieves industry-leading syngas purity with </w:t>
      </w:r>
      <w:r>
        <w:rPr>
          <w:rStyle w:val="MdStrong"/>
        </w:rPr>
        <w:t>94% tar removal</w:t>
      </w:r>
      <w:r>
        <w:t>, enabling high-value applications including electricity generation, thermal energy, cooling, hydrogen</w:t>
      </w:r>
      <w:r w:rsidR="00C25393">
        <w:t>, methane</w:t>
      </w:r>
      <w:r>
        <w:t xml:space="preserve"> production, and renewable natural gas (RNG).</w:t>
      </w:r>
    </w:p>
    <w:p w14:paraId="77102C83" w14:textId="77777777" w:rsidR="00D37098" w:rsidRDefault="00D37098">
      <w:pPr>
        <w:pStyle w:val="MdSpace"/>
        <w:spacing w:after="60"/>
      </w:pPr>
    </w:p>
    <w:p w14:paraId="428883F1" w14:textId="77777777" w:rsidR="00D37098" w:rsidRDefault="00000000">
      <w:pPr>
        <w:pStyle w:val="MdParagraph"/>
      </w:pPr>
      <w:r>
        <w:rPr>
          <w:rStyle w:val="MdStrong"/>
        </w:rPr>
        <w:t>Key Performance Metrics:</w:t>
      </w:r>
    </w:p>
    <w:p w14:paraId="0A3A9330" w14:textId="77777777" w:rsidR="00D37098" w:rsidRDefault="00000000">
      <w:pPr>
        <w:pStyle w:val="MdListItem"/>
        <w:numPr>
          <w:ilvl w:val="0"/>
          <w:numId w:val="2"/>
        </w:numPr>
      </w:pPr>
      <w:r>
        <w:rPr>
          <w:rStyle w:val="MdStrong"/>
        </w:rPr>
        <w:t>Electrical Output:</w:t>
      </w:r>
      <w:r>
        <w:t xml:space="preserve"> 150 kW</w:t>
      </w:r>
    </w:p>
    <w:p w14:paraId="042D5BBA" w14:textId="77777777" w:rsidR="00D37098" w:rsidRDefault="00000000">
      <w:pPr>
        <w:pStyle w:val="MdListItem"/>
        <w:numPr>
          <w:ilvl w:val="0"/>
          <w:numId w:val="2"/>
        </w:numPr>
      </w:pPr>
      <w:r>
        <w:rPr>
          <w:rStyle w:val="MdStrong"/>
        </w:rPr>
        <w:t>Total System Efficiency:</w:t>
      </w:r>
      <w:r>
        <w:t xml:space="preserve"> 85% (25% electrical + 60% thermal for wood feedstock)</w:t>
      </w:r>
    </w:p>
    <w:p w14:paraId="5B24A664" w14:textId="77777777" w:rsidR="00D37098" w:rsidRDefault="00000000">
      <w:pPr>
        <w:pStyle w:val="MdListItem"/>
        <w:numPr>
          <w:ilvl w:val="0"/>
          <w:numId w:val="2"/>
        </w:numPr>
      </w:pPr>
      <w:r>
        <w:rPr>
          <w:rStyle w:val="MdStrong"/>
        </w:rPr>
        <w:t>Syngas Production:</w:t>
      </w:r>
      <w:r>
        <w:t xml:space="preserve"> 650-730 Nm³/hr (wood feedstock)</w:t>
      </w:r>
    </w:p>
    <w:p w14:paraId="28103088" w14:textId="77777777" w:rsidR="00D37098" w:rsidRDefault="00000000">
      <w:pPr>
        <w:pStyle w:val="MdListItem"/>
        <w:numPr>
          <w:ilvl w:val="0"/>
          <w:numId w:val="2"/>
        </w:numPr>
      </w:pPr>
      <w:r>
        <w:rPr>
          <w:rStyle w:val="MdStrong"/>
        </w:rPr>
        <w:t>Tar Removal:</w:t>
      </w:r>
      <w:r>
        <w:t xml:space="preserve"> 94% reduction (8 ppm → 0.48 ppm with </w:t>
      </w:r>
      <w:proofErr w:type="spellStart"/>
      <w:r>
        <w:t>SyngaPure</w:t>
      </w:r>
      <w:proofErr w:type="spellEnd"/>
      <w:r>
        <w:t>™)</w:t>
      </w:r>
    </w:p>
    <w:p w14:paraId="1022A1F5" w14:textId="77777777" w:rsidR="00D37098" w:rsidRDefault="00000000">
      <w:pPr>
        <w:pStyle w:val="MdListItem"/>
        <w:numPr>
          <w:ilvl w:val="0"/>
          <w:numId w:val="2"/>
        </w:numPr>
      </w:pPr>
      <w:r>
        <w:rPr>
          <w:rStyle w:val="MdStrong"/>
        </w:rPr>
        <w:t>Operating Temperature:</w:t>
      </w:r>
      <w:r>
        <w:t xml:space="preserve"> 1,100°</w:t>
      </w:r>
      <w:proofErr w:type="spellStart"/>
      <w:r>
        <w:t>C at</w:t>
      </w:r>
      <w:proofErr w:type="spellEnd"/>
      <w:r>
        <w:t xml:space="preserve"> atmospheric pressure</w:t>
      </w:r>
    </w:p>
    <w:p w14:paraId="1BABF199" w14:textId="77777777" w:rsidR="00D37098" w:rsidRDefault="00000000">
      <w:pPr>
        <w:pStyle w:val="MdListItem"/>
        <w:numPr>
          <w:ilvl w:val="0"/>
          <w:numId w:val="2"/>
        </w:numPr>
      </w:pPr>
      <w:r>
        <w:rPr>
          <w:rStyle w:val="MdStrong"/>
        </w:rPr>
        <w:t>Feedstock Flexibility:</w:t>
      </w:r>
      <w:r>
        <w:t xml:space="preserve"> Municipal solid waste, agricultural residues, forestry waste, brewery waste, sewage sludge, and more</w:t>
      </w:r>
    </w:p>
    <w:p w14:paraId="2E6039E6" w14:textId="77777777" w:rsidR="00D37098" w:rsidRDefault="00D37098">
      <w:pPr>
        <w:pStyle w:val="MdSpace"/>
        <w:spacing w:after="60"/>
      </w:pPr>
    </w:p>
    <w:p w14:paraId="3C99F2B0" w14:textId="77777777" w:rsidR="00D37098" w:rsidRDefault="00000000">
      <w:pPr>
        <w:pStyle w:val="MdParagraph"/>
      </w:pPr>
      <w:r>
        <w:rPr>
          <w:rStyle w:val="MdStrong"/>
        </w:rPr>
        <w:t>Validated Performance:</w:t>
      </w:r>
      <w:r>
        <w:t xml:space="preserve"> The technology has been proven through </w:t>
      </w:r>
      <w:r>
        <w:rPr>
          <w:rStyle w:val="MdStrong"/>
        </w:rPr>
        <w:t>1,300 operating hours</w:t>
      </w:r>
      <w:r>
        <w:t xml:space="preserve"> at the Paris COMETHA facility using the X-50 predecessor system, demonstrating continuous 7-10 day runs with zero gasifier maintenance requirements.</w:t>
      </w:r>
    </w:p>
    <w:p w14:paraId="7900245F" w14:textId="77777777" w:rsidR="00D37098" w:rsidRDefault="00D37098">
      <w:pPr>
        <w:pStyle w:val="MdSpace"/>
        <w:spacing w:after="60"/>
      </w:pPr>
    </w:p>
    <w:p w14:paraId="158059EF" w14:textId="77777777" w:rsidR="00D37098" w:rsidRDefault="00D37098">
      <w:pPr>
        <w:pStyle w:val="MdHr"/>
        <w:pBdr>
          <w:bottom w:val="single" w:sz="6" w:space="1" w:color="auto"/>
        </w:pBdr>
      </w:pPr>
    </w:p>
    <w:p w14:paraId="7806DE64" w14:textId="77777777" w:rsidR="00D37098" w:rsidRDefault="00D37098">
      <w:pPr>
        <w:pStyle w:val="MdSpace"/>
        <w:spacing w:after="60"/>
      </w:pPr>
    </w:p>
    <w:p w14:paraId="3A8EA7DA" w14:textId="77777777" w:rsidR="00D37098" w:rsidRDefault="00000000">
      <w:pPr>
        <w:pStyle w:val="MdHeading2"/>
      </w:pPr>
      <w:r>
        <w:t>Table of Contents</w:t>
      </w:r>
    </w:p>
    <w:p w14:paraId="0DCA240D" w14:textId="77777777" w:rsidR="00D37098" w:rsidRDefault="00D37098">
      <w:pPr>
        <w:pStyle w:val="MdListItem"/>
        <w:numPr>
          <w:ilvl w:val="0"/>
          <w:numId w:val="3"/>
        </w:numPr>
      </w:pPr>
      <w:hyperlink w:anchor="1-technology-overview" w:history="1">
        <w:r>
          <w:rPr>
            <w:rStyle w:val="MdLink"/>
          </w:rPr>
          <w:t>Technology Overview</w:t>
        </w:r>
      </w:hyperlink>
    </w:p>
    <w:p w14:paraId="1ED5AFA3" w14:textId="77777777" w:rsidR="00D37098" w:rsidRDefault="00D37098">
      <w:pPr>
        <w:pStyle w:val="MdListItem"/>
        <w:numPr>
          <w:ilvl w:val="0"/>
          <w:numId w:val="3"/>
        </w:numPr>
      </w:pPr>
      <w:hyperlink w:anchor="2-technical-specifications" w:history="1">
        <w:r>
          <w:rPr>
            <w:rStyle w:val="MdLink"/>
          </w:rPr>
          <w:t>Technical Specifications</w:t>
        </w:r>
      </w:hyperlink>
    </w:p>
    <w:p w14:paraId="06BFBA70" w14:textId="77777777" w:rsidR="00D37098" w:rsidRDefault="00D37098">
      <w:pPr>
        <w:pStyle w:val="MdListItem"/>
        <w:numPr>
          <w:ilvl w:val="0"/>
          <w:numId w:val="3"/>
        </w:numPr>
      </w:pPr>
      <w:hyperlink w:anchor="3-product-configurations" w:history="1">
        <w:r>
          <w:rPr>
            <w:rStyle w:val="MdLink"/>
          </w:rPr>
          <w:t>Product Configurations</w:t>
        </w:r>
      </w:hyperlink>
    </w:p>
    <w:p w14:paraId="04601356" w14:textId="77777777" w:rsidR="00D37098" w:rsidRDefault="00D37098">
      <w:pPr>
        <w:pStyle w:val="MdListItem"/>
        <w:numPr>
          <w:ilvl w:val="0"/>
          <w:numId w:val="3"/>
        </w:numPr>
      </w:pPr>
      <w:hyperlink w:anchor="4-feedstock-capabilities" w:history="1">
        <w:r>
          <w:rPr>
            <w:rStyle w:val="MdLink"/>
          </w:rPr>
          <w:t>Feedstock Capabilities</w:t>
        </w:r>
      </w:hyperlink>
    </w:p>
    <w:p w14:paraId="74D28A01" w14:textId="77777777" w:rsidR="00D37098" w:rsidRDefault="00D37098">
      <w:pPr>
        <w:pStyle w:val="MdListItem"/>
        <w:numPr>
          <w:ilvl w:val="0"/>
          <w:numId w:val="3"/>
        </w:numPr>
      </w:pPr>
      <w:hyperlink w:anchor="5-business-model--applications" w:history="1">
        <w:r>
          <w:rPr>
            <w:rStyle w:val="MdLink"/>
          </w:rPr>
          <w:t>Business Model &amp; Applications</w:t>
        </w:r>
      </w:hyperlink>
    </w:p>
    <w:p w14:paraId="4C05384E" w14:textId="77777777" w:rsidR="00D37098" w:rsidRDefault="00D37098">
      <w:pPr>
        <w:pStyle w:val="MdListItem"/>
        <w:numPr>
          <w:ilvl w:val="0"/>
          <w:numId w:val="3"/>
        </w:numPr>
      </w:pPr>
      <w:hyperlink w:anchor="6-market-opportunity" w:history="1">
        <w:r>
          <w:rPr>
            <w:rStyle w:val="MdLink"/>
          </w:rPr>
          <w:t>Market Opportunity</w:t>
        </w:r>
      </w:hyperlink>
    </w:p>
    <w:p w14:paraId="7F4DF08F" w14:textId="77777777" w:rsidR="00D37098" w:rsidRDefault="00D37098">
      <w:pPr>
        <w:pStyle w:val="MdListItem"/>
        <w:numPr>
          <w:ilvl w:val="0"/>
          <w:numId w:val="3"/>
        </w:numPr>
      </w:pPr>
      <w:hyperlink w:anchor="7-economics--financial-performance" w:history="1">
        <w:r>
          <w:rPr>
            <w:rStyle w:val="MdLink"/>
          </w:rPr>
          <w:t>Economics &amp; Financial Performance</w:t>
        </w:r>
      </w:hyperlink>
    </w:p>
    <w:p w14:paraId="6C129130" w14:textId="77777777" w:rsidR="00D37098" w:rsidRDefault="00D37098">
      <w:pPr>
        <w:pStyle w:val="MdListItem"/>
        <w:numPr>
          <w:ilvl w:val="0"/>
          <w:numId w:val="3"/>
        </w:numPr>
      </w:pPr>
      <w:hyperlink w:anchor="8-competitive-advantages" w:history="1">
        <w:r>
          <w:rPr>
            <w:rStyle w:val="MdLink"/>
          </w:rPr>
          <w:t>Competitive Advantages</w:t>
        </w:r>
      </w:hyperlink>
    </w:p>
    <w:p w14:paraId="1F58C65E" w14:textId="77777777" w:rsidR="00D37098" w:rsidRDefault="00D37098">
      <w:pPr>
        <w:pStyle w:val="MdListItem"/>
        <w:numPr>
          <w:ilvl w:val="0"/>
          <w:numId w:val="3"/>
        </w:numPr>
      </w:pPr>
      <w:hyperlink w:anchor="9-project-execution--timeline" w:history="1">
        <w:r>
          <w:rPr>
            <w:rStyle w:val="MdLink"/>
          </w:rPr>
          <w:t>Project Execution &amp; Timeline</w:t>
        </w:r>
      </w:hyperlink>
    </w:p>
    <w:p w14:paraId="2BBEB53A" w14:textId="77777777" w:rsidR="00D37098" w:rsidRDefault="00D37098">
      <w:pPr>
        <w:pStyle w:val="MdListItem"/>
        <w:numPr>
          <w:ilvl w:val="0"/>
          <w:numId w:val="3"/>
        </w:numPr>
      </w:pPr>
      <w:hyperlink w:anchor="10-strategic-partnerships" w:history="1">
        <w:r>
          <w:rPr>
            <w:rStyle w:val="MdLink"/>
          </w:rPr>
          <w:t>Strategic Partnerships</w:t>
        </w:r>
      </w:hyperlink>
    </w:p>
    <w:p w14:paraId="4E3B4AEF" w14:textId="77777777" w:rsidR="00D37098" w:rsidRDefault="00D37098">
      <w:pPr>
        <w:pStyle w:val="MdListItem"/>
        <w:numPr>
          <w:ilvl w:val="0"/>
          <w:numId w:val="3"/>
        </w:numPr>
      </w:pPr>
      <w:hyperlink w:anchor="11-regulatory--environmental-compliance" w:history="1">
        <w:r>
          <w:rPr>
            <w:rStyle w:val="MdLink"/>
          </w:rPr>
          <w:t>Regulatory &amp; Environmental Compliance</w:t>
        </w:r>
      </w:hyperlink>
    </w:p>
    <w:p w14:paraId="53B69CFF" w14:textId="77777777" w:rsidR="00D37098" w:rsidRDefault="00D37098">
      <w:pPr>
        <w:pStyle w:val="MdListItem"/>
        <w:numPr>
          <w:ilvl w:val="0"/>
          <w:numId w:val="3"/>
        </w:numPr>
      </w:pPr>
      <w:hyperlink w:anchor="12-future-development-roadmap" w:history="1">
        <w:r>
          <w:rPr>
            <w:rStyle w:val="MdLink"/>
          </w:rPr>
          <w:t>Future Development Roadmap</w:t>
        </w:r>
      </w:hyperlink>
    </w:p>
    <w:p w14:paraId="1FB1CB3D" w14:textId="77777777" w:rsidR="00D37098" w:rsidRDefault="00D37098">
      <w:pPr>
        <w:pStyle w:val="MdSpace"/>
        <w:spacing w:after="60"/>
      </w:pPr>
    </w:p>
    <w:p w14:paraId="02CEAC85" w14:textId="77777777" w:rsidR="00D37098" w:rsidRDefault="00D37098">
      <w:pPr>
        <w:pStyle w:val="MdHr"/>
        <w:pBdr>
          <w:bottom w:val="single" w:sz="6" w:space="1" w:color="auto"/>
        </w:pBdr>
      </w:pPr>
    </w:p>
    <w:p w14:paraId="4DBD171F" w14:textId="77777777" w:rsidR="00D37098" w:rsidRDefault="00D37098">
      <w:pPr>
        <w:pStyle w:val="MdSpace"/>
        <w:spacing w:after="60"/>
      </w:pPr>
    </w:p>
    <w:p w14:paraId="6A2CF1EE" w14:textId="77777777" w:rsidR="00D37098" w:rsidRDefault="00000000">
      <w:pPr>
        <w:pStyle w:val="MdHeading2"/>
      </w:pPr>
      <w:r>
        <w:t>1. Technology Overview</w:t>
      </w:r>
    </w:p>
    <w:p w14:paraId="594A16FE" w14:textId="77777777" w:rsidR="00D37098" w:rsidRDefault="00000000">
      <w:pPr>
        <w:pStyle w:val="MdHeading3"/>
      </w:pPr>
      <w:r>
        <w:t>1.1 Core Gasification Platform</w:t>
      </w:r>
    </w:p>
    <w:p w14:paraId="0A60FED2" w14:textId="77777777" w:rsidR="00D37098" w:rsidRDefault="00000000">
      <w:pPr>
        <w:pStyle w:val="MdParagraph"/>
      </w:pPr>
      <w:r>
        <w:t xml:space="preserve">The X-150 employs a </w:t>
      </w:r>
      <w:r>
        <w:rPr>
          <w:rStyle w:val="MdStrong"/>
        </w:rPr>
        <w:t>one-stage downdraft fixed bed gasifier</w:t>
      </w:r>
      <w:r>
        <w:t xml:space="preserve"> design, representing decades of German engineering refinement by MFC Multi Fuel Conversion GmbH. This configuration offers several advantages over competing gasification technologies including fluidized bed and updraft designs.</w:t>
      </w:r>
    </w:p>
    <w:p w14:paraId="461C6B05" w14:textId="77777777" w:rsidR="00D37098" w:rsidRDefault="00D37098">
      <w:pPr>
        <w:pStyle w:val="MdSpace"/>
        <w:spacing w:after="60"/>
      </w:pPr>
    </w:p>
    <w:p w14:paraId="4B428984" w14:textId="77777777" w:rsidR="00D37098" w:rsidRDefault="00000000">
      <w:pPr>
        <w:pStyle w:val="MdParagraph"/>
      </w:pPr>
      <w:r>
        <w:rPr>
          <w:rStyle w:val="MdStrong"/>
        </w:rPr>
        <w:t>Downdraft Gasification Process:</w:t>
      </w:r>
    </w:p>
    <w:p w14:paraId="52A2599B" w14:textId="77777777" w:rsidR="00D37098" w:rsidRDefault="00D37098">
      <w:pPr>
        <w:pStyle w:val="MdSpace"/>
        <w:spacing w:after="60"/>
      </w:pPr>
    </w:p>
    <w:p w14:paraId="3954622E" w14:textId="77777777" w:rsidR="00D37098" w:rsidRDefault="00000000">
      <w:pPr>
        <w:pStyle w:val="MdParagraph"/>
      </w:pPr>
      <w:r>
        <w:t>The downdraft design forces combustible gases to pass through a high-temperature oxidation zone before exiting the gasifier. This process naturally reduces tar formation compared to updraft or fluidized bed designs. Feedstock enters from the top and moves downward through four distinct zones:</w:t>
      </w:r>
    </w:p>
    <w:p w14:paraId="75475480" w14:textId="77777777" w:rsidR="00D37098" w:rsidRDefault="00D37098">
      <w:pPr>
        <w:pStyle w:val="MdSpace"/>
        <w:spacing w:after="60"/>
      </w:pPr>
    </w:p>
    <w:p w14:paraId="4C81B1E1" w14:textId="77777777" w:rsidR="00D37098" w:rsidRDefault="00000000">
      <w:pPr>
        <w:pStyle w:val="MdListItem"/>
        <w:numPr>
          <w:ilvl w:val="0"/>
          <w:numId w:val="3"/>
        </w:numPr>
      </w:pPr>
      <w:r>
        <w:rPr>
          <w:rStyle w:val="MdStrong"/>
        </w:rPr>
        <w:t>Drying Zone</w:t>
      </w:r>
      <w:r>
        <w:t xml:space="preserve"> (100-200°C): Moisture is evaporated from incoming feedstock</w:t>
      </w:r>
    </w:p>
    <w:p w14:paraId="2691D67D" w14:textId="77777777" w:rsidR="00D37098" w:rsidRDefault="00000000">
      <w:pPr>
        <w:pStyle w:val="MdListItem"/>
        <w:numPr>
          <w:ilvl w:val="0"/>
          <w:numId w:val="3"/>
        </w:numPr>
      </w:pPr>
      <w:r>
        <w:rPr>
          <w:rStyle w:val="MdStrong"/>
        </w:rPr>
        <w:t>Pyrolysis Zone</w:t>
      </w:r>
      <w:r>
        <w:t xml:space="preserve"> (200-700°C): Thermal decomposition releases volatile compounds</w:t>
      </w:r>
    </w:p>
    <w:p w14:paraId="43DE3368" w14:textId="77777777" w:rsidR="00D37098" w:rsidRDefault="00000000">
      <w:pPr>
        <w:pStyle w:val="MdListItem"/>
        <w:numPr>
          <w:ilvl w:val="0"/>
          <w:numId w:val="3"/>
        </w:numPr>
      </w:pPr>
      <w:r>
        <w:rPr>
          <w:rStyle w:val="MdStrong"/>
        </w:rPr>
        <w:t>Oxidation Zone</w:t>
      </w:r>
      <w:r>
        <w:t xml:space="preserve"> (700-1,100°C): Partial combustion provides heat for the process</w:t>
      </w:r>
    </w:p>
    <w:p w14:paraId="3E66E6E3" w14:textId="77777777" w:rsidR="00D37098" w:rsidRDefault="00000000">
      <w:pPr>
        <w:pStyle w:val="MdListItem"/>
        <w:numPr>
          <w:ilvl w:val="0"/>
          <w:numId w:val="3"/>
        </w:numPr>
      </w:pPr>
      <w:r>
        <w:rPr>
          <w:rStyle w:val="MdStrong"/>
        </w:rPr>
        <w:t>Reduction Zone</w:t>
      </w:r>
      <w:r>
        <w:t xml:space="preserve"> (600-900°C): Chemical reduction produces combustible syngas</w:t>
      </w:r>
    </w:p>
    <w:p w14:paraId="0CB45E98" w14:textId="77777777" w:rsidR="00D37098" w:rsidRDefault="00D37098">
      <w:pPr>
        <w:pStyle w:val="MdSpace"/>
        <w:spacing w:after="60"/>
      </w:pPr>
    </w:p>
    <w:p w14:paraId="7E9DB5AC" w14:textId="77777777" w:rsidR="00D37098" w:rsidRDefault="00000000">
      <w:pPr>
        <w:pStyle w:val="MdParagraph"/>
      </w:pPr>
      <w:r>
        <w:t xml:space="preserve">The resulting syngas exits at approximately 1,100°C with a baseline tar content of </w:t>
      </w:r>
      <w:r>
        <w:rPr>
          <w:rStyle w:val="MdStrong"/>
        </w:rPr>
        <w:t>8 ppm for wood feedstock</w:t>
      </w:r>
      <w:r>
        <w:t xml:space="preserve"> - already significantly lower than most competing gasification technologies which typically produce 20-100+ ppm tar.</w:t>
      </w:r>
    </w:p>
    <w:p w14:paraId="034F7A21" w14:textId="77777777" w:rsidR="00D37098" w:rsidRDefault="00D37098">
      <w:pPr>
        <w:pStyle w:val="MdSpace"/>
        <w:spacing w:after="60"/>
      </w:pPr>
    </w:p>
    <w:p w14:paraId="1B0CF42B" w14:textId="77777777" w:rsidR="00D37098" w:rsidRDefault="00000000">
      <w:pPr>
        <w:pStyle w:val="MdHeading3"/>
      </w:pPr>
      <w:r>
        <w:t xml:space="preserve">1.2 </w:t>
      </w:r>
      <w:proofErr w:type="spellStart"/>
      <w:r>
        <w:t>SyngaPure</w:t>
      </w:r>
      <w:proofErr w:type="spellEnd"/>
      <w:r>
        <w:t>™ Catalyst Integration</w:t>
      </w:r>
    </w:p>
    <w:p w14:paraId="5AFFE798" w14:textId="77777777" w:rsidR="00D37098" w:rsidRDefault="00000000">
      <w:pPr>
        <w:pStyle w:val="MdParagraph"/>
      </w:pPr>
      <w:r>
        <w:t xml:space="preserve">Zero-X Technologies' breakthrough contribution is the </w:t>
      </w:r>
      <w:proofErr w:type="spellStart"/>
      <w:r>
        <w:rPr>
          <w:rStyle w:val="MdStrong"/>
        </w:rPr>
        <w:t>SyngaPure</w:t>
      </w:r>
      <w:proofErr w:type="spellEnd"/>
      <w:r>
        <w:rPr>
          <w:rStyle w:val="MdStrong"/>
        </w:rPr>
        <w:t>™ platinum-based catalyst system</w:t>
      </w:r>
      <w:r>
        <w:t xml:space="preserve"> that integrates downstream of the gasifier and particulate filters. This system achieves </w:t>
      </w:r>
      <w:r>
        <w:rPr>
          <w:rStyle w:val="MdStrong"/>
        </w:rPr>
        <w:t>94% tar removal</w:t>
      </w:r>
      <w:r>
        <w:t xml:space="preserve">, reducing tar concentration from 8 ppm to approximately </w:t>
      </w:r>
      <w:r>
        <w:rPr>
          <w:rStyle w:val="MdStrong"/>
        </w:rPr>
        <w:t>0.48 ppm</w:t>
      </w:r>
      <w:r>
        <w:t xml:space="preserve"> for wood feedstock.</w:t>
      </w:r>
    </w:p>
    <w:p w14:paraId="26649820" w14:textId="77777777" w:rsidR="00D37098" w:rsidRDefault="00D37098">
      <w:pPr>
        <w:pStyle w:val="MdSpace"/>
        <w:spacing w:after="60"/>
      </w:pPr>
    </w:p>
    <w:p w14:paraId="7C2CB84C" w14:textId="77777777" w:rsidR="00D37098" w:rsidRDefault="00000000">
      <w:pPr>
        <w:pStyle w:val="MdParagraph"/>
      </w:pPr>
      <w:r>
        <w:rPr>
          <w:rStyle w:val="MdStrong"/>
        </w:rPr>
        <w:t>Process Flow:</w:t>
      </w:r>
    </w:p>
    <w:p w14:paraId="5AA7300C" w14:textId="77777777" w:rsidR="00D37098" w:rsidRDefault="00000000">
      <w:pPr>
        <w:pStyle w:val="MdCode"/>
        <w:pBdr>
          <w:top w:val="single" w:sz="1" w:space="8" w:color="E1E4E8"/>
          <w:left w:val="single" w:sz="1" w:space="8" w:color="E1E4E8"/>
          <w:right w:val="single" w:sz="1" w:space="8" w:color="E1E4E8"/>
        </w:pBdr>
        <w:shd w:val="clear" w:color="auto" w:fill="F6F8FA"/>
        <w:spacing w:before="120" w:after="0" w:line="276" w:lineRule="auto"/>
        <w:ind w:left="360"/>
      </w:pPr>
      <w:r>
        <w:rPr>
          <w:color w:val="24292E"/>
          <w:sz w:val="20"/>
          <w:szCs w:val="20"/>
        </w:rPr>
        <w:lastRenderedPageBreak/>
        <w:t xml:space="preserve">Feedstock → X-150 Gasifier (1,100°C) → Ceramic Candle Filters (PM removal) → </w:t>
      </w:r>
    </w:p>
    <w:p w14:paraId="5AEB20B0" w14:textId="77777777" w:rsidR="00D37098" w:rsidRDefault="00000000">
      <w:pPr>
        <w:pStyle w:val="MdCode"/>
        <w:pBdr>
          <w:left w:val="single" w:sz="1" w:space="8" w:color="E1E4E8"/>
          <w:bottom w:val="single" w:sz="1" w:space="8" w:color="E1E4E8"/>
          <w:right w:val="single" w:sz="1" w:space="8" w:color="E1E4E8"/>
        </w:pBdr>
        <w:shd w:val="clear" w:color="auto" w:fill="F6F8FA"/>
        <w:spacing w:before="0" w:after="120" w:line="276" w:lineRule="auto"/>
        <w:ind w:left="360"/>
      </w:pPr>
      <w:proofErr w:type="spellStart"/>
      <w:r>
        <w:rPr>
          <w:color w:val="24292E"/>
          <w:sz w:val="20"/>
          <w:szCs w:val="20"/>
        </w:rPr>
        <w:t>SyngaPure</w:t>
      </w:r>
      <w:proofErr w:type="spellEnd"/>
      <w:r>
        <w:rPr>
          <w:color w:val="24292E"/>
          <w:sz w:val="20"/>
          <w:szCs w:val="20"/>
        </w:rPr>
        <w:t>™ Catalyst (94% tar removal) → Clean Syngas → End-Use Application</w:t>
      </w:r>
    </w:p>
    <w:p w14:paraId="0951E219" w14:textId="77777777" w:rsidR="00D37098" w:rsidRDefault="00D37098">
      <w:pPr>
        <w:pStyle w:val="MdSpace"/>
        <w:spacing w:after="60"/>
      </w:pPr>
    </w:p>
    <w:p w14:paraId="255B8A9D" w14:textId="77777777" w:rsidR="00D37098" w:rsidRDefault="00000000">
      <w:pPr>
        <w:pStyle w:val="MdParagraph"/>
      </w:pPr>
      <w:r>
        <w:t>The catalyst operates through platinum-</w:t>
      </w:r>
      <w:proofErr w:type="spellStart"/>
      <w:r>
        <w:t>catalyzed</w:t>
      </w:r>
      <w:proofErr w:type="spellEnd"/>
      <w:r>
        <w:t xml:space="preserve"> tar cracking and reforming reactions, breaking down complex tar molecules into lighter, more valuable syngas components (primarily H₂ and CO). This process is critical because tar contamination is the primary technical barrier preventing widespread adoption of gasification technology for high-value applications.</w:t>
      </w:r>
    </w:p>
    <w:p w14:paraId="43E15EFC" w14:textId="77777777" w:rsidR="00D37098" w:rsidRDefault="00D37098">
      <w:pPr>
        <w:pStyle w:val="MdSpace"/>
        <w:spacing w:after="60"/>
      </w:pPr>
    </w:p>
    <w:p w14:paraId="3805BAFF" w14:textId="77777777" w:rsidR="00D37098" w:rsidRDefault="00000000">
      <w:pPr>
        <w:pStyle w:val="MdParagraph"/>
      </w:pPr>
      <w:r>
        <w:rPr>
          <w:rStyle w:val="MdStrong"/>
        </w:rPr>
        <w:t>Why Tar Removal Matters:</w:t>
      </w:r>
    </w:p>
    <w:p w14:paraId="4EE38D1F" w14:textId="77777777" w:rsidR="00D37098" w:rsidRDefault="00D37098">
      <w:pPr>
        <w:pStyle w:val="MdSpace"/>
        <w:spacing w:after="60"/>
      </w:pPr>
    </w:p>
    <w:p w14:paraId="0AA9B8DB" w14:textId="77777777" w:rsidR="00D37098" w:rsidRDefault="00000000">
      <w:pPr>
        <w:pStyle w:val="MdParagraph"/>
      </w:pPr>
      <w:r>
        <w:t>Tar contamination causes multiple operational problems in downstream equipment:</w:t>
      </w:r>
    </w:p>
    <w:p w14:paraId="2C254DD3" w14:textId="77777777" w:rsidR="00D37098" w:rsidRDefault="00D37098">
      <w:pPr>
        <w:pStyle w:val="MdSpace"/>
        <w:spacing w:after="60"/>
      </w:pPr>
    </w:p>
    <w:p w14:paraId="2E276E32" w14:textId="77777777" w:rsidR="00D37098" w:rsidRDefault="00000000">
      <w:pPr>
        <w:pStyle w:val="MdListItem"/>
        <w:numPr>
          <w:ilvl w:val="0"/>
          <w:numId w:val="2"/>
        </w:numPr>
      </w:pPr>
      <w:r>
        <w:rPr>
          <w:rStyle w:val="MdStrong"/>
        </w:rPr>
        <w:t>Clogging:</w:t>
      </w:r>
      <w:r>
        <w:t xml:space="preserve"> Tar condenses in cooler sections of piping, heat exchangers, and engines, requiring frequent cleaning and causing unplanned downtime</w:t>
      </w:r>
    </w:p>
    <w:p w14:paraId="39BB4623" w14:textId="77777777" w:rsidR="00D37098" w:rsidRDefault="00000000">
      <w:pPr>
        <w:pStyle w:val="MdListItem"/>
        <w:numPr>
          <w:ilvl w:val="0"/>
          <w:numId w:val="2"/>
        </w:numPr>
      </w:pPr>
      <w:r>
        <w:rPr>
          <w:rStyle w:val="MdStrong"/>
        </w:rPr>
        <w:t>Equipment Damage:</w:t>
      </w:r>
      <w:r>
        <w:t xml:space="preserve"> Tar fouls fuel injectors, turbine blades, and catalyst surfaces in fuel cells</w:t>
      </w:r>
    </w:p>
    <w:p w14:paraId="607E7B9D" w14:textId="77777777" w:rsidR="00D37098" w:rsidRDefault="00000000">
      <w:pPr>
        <w:pStyle w:val="MdListItem"/>
        <w:numPr>
          <w:ilvl w:val="0"/>
          <w:numId w:val="2"/>
        </w:numPr>
      </w:pPr>
      <w:r>
        <w:rPr>
          <w:rStyle w:val="MdStrong"/>
        </w:rPr>
        <w:t>Performance Degradation:</w:t>
      </w:r>
      <w:r>
        <w:t xml:space="preserve"> Tar reduces efficiency of combustion engines and blocks gas cleanup systems</w:t>
      </w:r>
    </w:p>
    <w:p w14:paraId="6F591A23" w14:textId="77777777" w:rsidR="00D37098" w:rsidRDefault="00000000">
      <w:pPr>
        <w:pStyle w:val="MdListItem"/>
        <w:numPr>
          <w:ilvl w:val="0"/>
          <w:numId w:val="2"/>
        </w:numPr>
      </w:pPr>
      <w:r>
        <w:rPr>
          <w:rStyle w:val="MdStrong"/>
        </w:rPr>
        <w:t>Maintenance Costs:</w:t>
      </w:r>
      <w:r>
        <w:t xml:space="preserve"> Systems without effective tar removal require 2-3x more maintenance </w:t>
      </w:r>
      <w:proofErr w:type="spellStart"/>
      <w:r>
        <w:t>labor</w:t>
      </w:r>
      <w:proofErr w:type="spellEnd"/>
      <w:r>
        <w:t xml:space="preserve"> and parts replacement</w:t>
      </w:r>
    </w:p>
    <w:p w14:paraId="484CA454" w14:textId="77777777" w:rsidR="00D37098" w:rsidRDefault="00D37098">
      <w:pPr>
        <w:pStyle w:val="MdSpace"/>
        <w:spacing w:after="60"/>
      </w:pPr>
    </w:p>
    <w:p w14:paraId="3F490ED8" w14:textId="77777777" w:rsidR="00D37098" w:rsidRDefault="00000000">
      <w:pPr>
        <w:pStyle w:val="MdParagraph"/>
      </w:pPr>
      <w:r>
        <w:t xml:space="preserve">The </w:t>
      </w:r>
      <w:proofErr w:type="spellStart"/>
      <w:r>
        <w:t>SyngaPure</w:t>
      </w:r>
      <w:proofErr w:type="spellEnd"/>
      <w:r>
        <w:t>™ catalyst eliminates these problems, enabling the X-150 to serve applications that were previously impossible with conventional gasification technology.</w:t>
      </w:r>
    </w:p>
    <w:p w14:paraId="70CB569F" w14:textId="77777777" w:rsidR="00D37098" w:rsidRDefault="00D37098">
      <w:pPr>
        <w:pStyle w:val="MdSpace"/>
        <w:spacing w:after="60"/>
      </w:pPr>
    </w:p>
    <w:p w14:paraId="43C71004" w14:textId="77777777" w:rsidR="00D37098" w:rsidRDefault="00000000">
      <w:pPr>
        <w:pStyle w:val="MdHeading3"/>
      </w:pPr>
      <w:r>
        <w:t>1.3 Modular and Scalable Design</w:t>
      </w:r>
    </w:p>
    <w:p w14:paraId="46BE45D7" w14:textId="77777777" w:rsidR="00D37098" w:rsidRDefault="00000000">
      <w:pPr>
        <w:pStyle w:val="MdParagraph"/>
      </w:pPr>
      <w:r>
        <w:t xml:space="preserve">The X-150 is designed as a </w:t>
      </w:r>
      <w:r>
        <w:rPr>
          <w:rStyle w:val="MdStrong"/>
        </w:rPr>
        <w:t>modular, relocatable system</w:t>
      </w:r>
      <w:r>
        <w:t xml:space="preserve"> rather than a permanent, site-built installation. This approach offers several business advantages:</w:t>
      </w:r>
    </w:p>
    <w:p w14:paraId="0C8A2186" w14:textId="77777777" w:rsidR="00D37098" w:rsidRDefault="00D37098">
      <w:pPr>
        <w:pStyle w:val="MdSpace"/>
        <w:spacing w:after="60"/>
      </w:pPr>
    </w:p>
    <w:p w14:paraId="2A34D20B" w14:textId="77777777" w:rsidR="00D37098" w:rsidRDefault="00000000">
      <w:pPr>
        <w:pStyle w:val="MdParagraph"/>
      </w:pPr>
      <w:r>
        <w:rPr>
          <w:rStyle w:val="MdStrong"/>
        </w:rPr>
        <w:t>Manufacturing Efficiency:</w:t>
      </w:r>
      <w:r>
        <w:t xml:space="preserve"> Units are factory-built in controlled conditions, ensuring consistent quality and reducing on-site construction time and cost.</w:t>
      </w:r>
    </w:p>
    <w:p w14:paraId="476ACAF5" w14:textId="77777777" w:rsidR="00D37098" w:rsidRDefault="00D37098">
      <w:pPr>
        <w:pStyle w:val="MdSpace"/>
        <w:spacing w:after="60"/>
      </w:pPr>
    </w:p>
    <w:p w14:paraId="66F90679" w14:textId="77777777" w:rsidR="00D37098" w:rsidRDefault="00000000">
      <w:pPr>
        <w:pStyle w:val="MdParagraph"/>
      </w:pPr>
      <w:r>
        <w:rPr>
          <w:rStyle w:val="MdStrong"/>
        </w:rPr>
        <w:t>Deployment Flexibility:</w:t>
      </w:r>
      <w:r>
        <w:t xml:space="preserve"> Systems can be relocated if waste streams change or if temporary installations are needed (e.g., disaster relief, construction sites, remote mining operations).</w:t>
      </w:r>
    </w:p>
    <w:p w14:paraId="7A7A3841" w14:textId="77777777" w:rsidR="00D37098" w:rsidRDefault="00D37098">
      <w:pPr>
        <w:pStyle w:val="MdSpace"/>
        <w:spacing w:after="60"/>
      </w:pPr>
    </w:p>
    <w:p w14:paraId="3DCD0FD2" w14:textId="77777777" w:rsidR="00D37098" w:rsidRDefault="00000000">
      <w:pPr>
        <w:pStyle w:val="MdParagraph"/>
      </w:pPr>
      <w:r>
        <w:rPr>
          <w:rStyle w:val="MdStrong"/>
        </w:rPr>
        <w:t>Scalability:</w:t>
      </w:r>
      <w:r>
        <w:t xml:space="preserve"> Multiple X-150 units can be deployed in parallel to handle larger waste volumes, with each unit operating independently for reliability and maintenance scheduling.</w:t>
      </w:r>
    </w:p>
    <w:p w14:paraId="7EE4CF04" w14:textId="77777777" w:rsidR="00D37098" w:rsidRDefault="00D37098">
      <w:pPr>
        <w:pStyle w:val="MdSpace"/>
        <w:spacing w:after="60"/>
      </w:pPr>
    </w:p>
    <w:p w14:paraId="2AE6C397" w14:textId="77777777" w:rsidR="00D37098" w:rsidRDefault="00000000">
      <w:pPr>
        <w:pStyle w:val="MdParagraph"/>
      </w:pPr>
      <w:r>
        <w:rPr>
          <w:rStyle w:val="MdStrong"/>
        </w:rPr>
        <w:t>Standardization:</w:t>
      </w:r>
      <w:r>
        <w:t xml:space="preserve"> Modular design enables economies of scale in manufacturing, spare parts inventory, and operator training.</w:t>
      </w:r>
    </w:p>
    <w:p w14:paraId="71EA4A80" w14:textId="77777777" w:rsidR="00D37098" w:rsidRDefault="00D37098">
      <w:pPr>
        <w:pStyle w:val="MdSpace"/>
        <w:spacing w:after="60"/>
      </w:pPr>
    </w:p>
    <w:p w14:paraId="4438F7C0" w14:textId="77777777" w:rsidR="00D37098" w:rsidRDefault="00D37098">
      <w:pPr>
        <w:pStyle w:val="MdHr"/>
        <w:pBdr>
          <w:bottom w:val="single" w:sz="6" w:space="1" w:color="auto"/>
        </w:pBdr>
      </w:pPr>
    </w:p>
    <w:p w14:paraId="58856647" w14:textId="77777777" w:rsidR="00D37098" w:rsidRDefault="00D37098">
      <w:pPr>
        <w:pStyle w:val="MdSpace"/>
        <w:spacing w:after="60"/>
      </w:pPr>
    </w:p>
    <w:p w14:paraId="10B1905B" w14:textId="77777777" w:rsidR="00D37098" w:rsidRDefault="00000000">
      <w:pPr>
        <w:pStyle w:val="MdHeading2"/>
      </w:pPr>
      <w:r>
        <w:t>2. Technical Specifications</w:t>
      </w:r>
    </w:p>
    <w:p w14:paraId="06FBAF61" w14:textId="77777777" w:rsidR="00D37098" w:rsidRDefault="00000000">
      <w:pPr>
        <w:pStyle w:val="MdHeading3"/>
      </w:pPr>
      <w:r>
        <w:t>2.1 Performance Parameters</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3058"/>
        <w:gridCol w:w="1645"/>
        <w:gridCol w:w="4323"/>
      </w:tblGrid>
      <w:tr w:rsidR="00D37098" w14:paraId="0F8BB48E" w14:textId="77777777">
        <w:trPr>
          <w:cantSplit/>
          <w:trHeight w:val="720"/>
          <w:tblHeader/>
        </w:trPr>
        <w:tc>
          <w:tcPr>
            <w:tcW w:w="0" w:type="auto"/>
            <w:tcMar>
              <w:top w:w="100" w:type="dxa"/>
              <w:left w:w="120" w:type="dxa"/>
              <w:bottom w:w="100" w:type="dxa"/>
              <w:right w:w="120" w:type="dxa"/>
            </w:tcMar>
            <w:vAlign w:val="center"/>
          </w:tcPr>
          <w:p w14:paraId="0083D82F" w14:textId="77777777" w:rsidR="00D37098" w:rsidRDefault="00000000">
            <w:pPr>
              <w:pStyle w:val="MdTableHeader"/>
            </w:pPr>
            <w:r>
              <w:t>Parameter</w:t>
            </w:r>
          </w:p>
        </w:tc>
        <w:tc>
          <w:tcPr>
            <w:tcW w:w="0" w:type="auto"/>
            <w:tcMar>
              <w:top w:w="100" w:type="dxa"/>
              <w:left w:w="120" w:type="dxa"/>
              <w:bottom w:w="100" w:type="dxa"/>
              <w:right w:w="120" w:type="dxa"/>
            </w:tcMar>
            <w:vAlign w:val="center"/>
          </w:tcPr>
          <w:p w14:paraId="5D094289" w14:textId="77777777" w:rsidR="00D37098" w:rsidRDefault="00000000">
            <w:pPr>
              <w:pStyle w:val="MdTableHeader"/>
            </w:pPr>
            <w:r>
              <w:t>Specification</w:t>
            </w:r>
          </w:p>
        </w:tc>
        <w:tc>
          <w:tcPr>
            <w:tcW w:w="0" w:type="auto"/>
            <w:tcMar>
              <w:top w:w="100" w:type="dxa"/>
              <w:left w:w="120" w:type="dxa"/>
              <w:bottom w:w="100" w:type="dxa"/>
              <w:right w:w="120" w:type="dxa"/>
            </w:tcMar>
            <w:vAlign w:val="center"/>
          </w:tcPr>
          <w:p w14:paraId="474A7C34" w14:textId="77777777" w:rsidR="00D37098" w:rsidRDefault="00000000">
            <w:pPr>
              <w:pStyle w:val="MdTableHeader"/>
            </w:pPr>
            <w:r>
              <w:t>Notes</w:t>
            </w:r>
          </w:p>
        </w:tc>
      </w:tr>
      <w:tr w:rsidR="00D37098" w14:paraId="5465BC2F" w14:textId="77777777">
        <w:trPr>
          <w:cantSplit/>
          <w:trHeight w:val="576"/>
        </w:trPr>
        <w:tc>
          <w:tcPr>
            <w:tcW w:w="0" w:type="auto"/>
            <w:tcMar>
              <w:top w:w="80" w:type="dxa"/>
              <w:left w:w="120" w:type="dxa"/>
              <w:bottom w:w="80" w:type="dxa"/>
              <w:right w:w="120" w:type="dxa"/>
            </w:tcMar>
            <w:vAlign w:val="center"/>
          </w:tcPr>
          <w:p w14:paraId="7D9A6102" w14:textId="77777777" w:rsidR="00D37098" w:rsidRDefault="00000000">
            <w:pPr>
              <w:pStyle w:val="MdTableCell"/>
            </w:pPr>
            <w:r>
              <w:rPr>
                <w:rStyle w:val="MdStrong"/>
              </w:rPr>
              <w:t>Rated Electrical Output</w:t>
            </w:r>
          </w:p>
        </w:tc>
        <w:tc>
          <w:tcPr>
            <w:tcW w:w="0" w:type="auto"/>
            <w:tcMar>
              <w:top w:w="80" w:type="dxa"/>
              <w:left w:w="120" w:type="dxa"/>
              <w:bottom w:w="80" w:type="dxa"/>
              <w:right w:w="120" w:type="dxa"/>
            </w:tcMar>
            <w:vAlign w:val="center"/>
          </w:tcPr>
          <w:p w14:paraId="26887720" w14:textId="77777777" w:rsidR="00D37098" w:rsidRDefault="00000000">
            <w:pPr>
              <w:pStyle w:val="MdTableCell"/>
            </w:pPr>
            <w:r>
              <w:t>150 kW</w:t>
            </w:r>
          </w:p>
        </w:tc>
        <w:tc>
          <w:tcPr>
            <w:tcW w:w="0" w:type="auto"/>
            <w:tcMar>
              <w:top w:w="80" w:type="dxa"/>
              <w:left w:w="120" w:type="dxa"/>
              <w:bottom w:w="80" w:type="dxa"/>
              <w:right w:w="120" w:type="dxa"/>
            </w:tcMar>
            <w:vAlign w:val="center"/>
          </w:tcPr>
          <w:p w14:paraId="5C4EC198" w14:textId="77777777" w:rsidR="00D37098" w:rsidRDefault="00000000">
            <w:pPr>
              <w:pStyle w:val="MdTableCell"/>
            </w:pPr>
            <w:r>
              <w:t>Via internal combustion engine or gas turbine</w:t>
            </w:r>
          </w:p>
        </w:tc>
      </w:tr>
      <w:tr w:rsidR="00D37098" w14:paraId="028779B9" w14:textId="77777777">
        <w:trPr>
          <w:cantSplit/>
          <w:trHeight w:val="576"/>
        </w:trPr>
        <w:tc>
          <w:tcPr>
            <w:tcW w:w="0" w:type="auto"/>
            <w:tcMar>
              <w:top w:w="80" w:type="dxa"/>
              <w:left w:w="120" w:type="dxa"/>
              <w:bottom w:w="80" w:type="dxa"/>
              <w:right w:w="120" w:type="dxa"/>
            </w:tcMar>
            <w:vAlign w:val="center"/>
          </w:tcPr>
          <w:p w14:paraId="5DF13A5A" w14:textId="77777777" w:rsidR="00D37098" w:rsidRDefault="00000000">
            <w:pPr>
              <w:pStyle w:val="MdTableCell"/>
            </w:pPr>
            <w:r>
              <w:rPr>
                <w:rStyle w:val="MdStrong"/>
              </w:rPr>
              <w:t>Electrical Efficiency</w:t>
            </w:r>
          </w:p>
        </w:tc>
        <w:tc>
          <w:tcPr>
            <w:tcW w:w="0" w:type="auto"/>
            <w:tcMar>
              <w:top w:w="80" w:type="dxa"/>
              <w:left w:w="120" w:type="dxa"/>
              <w:bottom w:w="80" w:type="dxa"/>
              <w:right w:w="120" w:type="dxa"/>
            </w:tcMar>
            <w:vAlign w:val="center"/>
          </w:tcPr>
          <w:p w14:paraId="0A588263" w14:textId="77777777" w:rsidR="00D37098" w:rsidRDefault="00000000">
            <w:pPr>
              <w:pStyle w:val="MdTableCell"/>
            </w:pPr>
            <w:r>
              <w:t>25%</w:t>
            </w:r>
          </w:p>
        </w:tc>
        <w:tc>
          <w:tcPr>
            <w:tcW w:w="0" w:type="auto"/>
            <w:tcMar>
              <w:top w:w="80" w:type="dxa"/>
              <w:left w:w="120" w:type="dxa"/>
              <w:bottom w:w="80" w:type="dxa"/>
              <w:right w:w="120" w:type="dxa"/>
            </w:tcMar>
            <w:vAlign w:val="center"/>
          </w:tcPr>
          <w:p w14:paraId="008ED4D4" w14:textId="77777777" w:rsidR="00D37098" w:rsidRDefault="00000000">
            <w:pPr>
              <w:pStyle w:val="MdTableCell"/>
            </w:pPr>
            <w:r>
              <w:t>For wood feedstock (LHV basis)</w:t>
            </w:r>
          </w:p>
        </w:tc>
      </w:tr>
      <w:tr w:rsidR="00D37098" w14:paraId="794E88CB" w14:textId="77777777">
        <w:trPr>
          <w:cantSplit/>
          <w:trHeight w:val="576"/>
        </w:trPr>
        <w:tc>
          <w:tcPr>
            <w:tcW w:w="0" w:type="auto"/>
            <w:tcMar>
              <w:top w:w="80" w:type="dxa"/>
              <w:left w:w="120" w:type="dxa"/>
              <w:bottom w:w="80" w:type="dxa"/>
              <w:right w:w="120" w:type="dxa"/>
            </w:tcMar>
            <w:vAlign w:val="center"/>
          </w:tcPr>
          <w:p w14:paraId="2255643C" w14:textId="77777777" w:rsidR="00D37098" w:rsidRDefault="00000000">
            <w:pPr>
              <w:pStyle w:val="MdTableCell"/>
            </w:pPr>
            <w:r>
              <w:rPr>
                <w:rStyle w:val="MdStrong"/>
              </w:rPr>
              <w:t>Thermal Output</w:t>
            </w:r>
          </w:p>
        </w:tc>
        <w:tc>
          <w:tcPr>
            <w:tcW w:w="0" w:type="auto"/>
            <w:tcMar>
              <w:top w:w="80" w:type="dxa"/>
              <w:left w:w="120" w:type="dxa"/>
              <w:bottom w:w="80" w:type="dxa"/>
              <w:right w:w="120" w:type="dxa"/>
            </w:tcMar>
            <w:vAlign w:val="center"/>
          </w:tcPr>
          <w:p w14:paraId="40F30F59" w14:textId="77777777" w:rsidR="00D37098" w:rsidRDefault="00000000">
            <w:pPr>
              <w:pStyle w:val="MdTableCell"/>
            </w:pPr>
            <w:r>
              <w:t>Up to 450 kW</w:t>
            </w:r>
          </w:p>
        </w:tc>
        <w:tc>
          <w:tcPr>
            <w:tcW w:w="0" w:type="auto"/>
            <w:tcMar>
              <w:top w:w="80" w:type="dxa"/>
              <w:left w:w="120" w:type="dxa"/>
              <w:bottom w:w="80" w:type="dxa"/>
              <w:right w:w="120" w:type="dxa"/>
            </w:tcMar>
            <w:vAlign w:val="center"/>
          </w:tcPr>
          <w:p w14:paraId="47A0A7B4" w14:textId="77777777" w:rsidR="00D37098" w:rsidRDefault="00000000">
            <w:pPr>
              <w:pStyle w:val="MdTableCell"/>
            </w:pPr>
            <w:r>
              <w:t>Recoverable heat from exhaust and cooling</w:t>
            </w:r>
          </w:p>
        </w:tc>
      </w:tr>
      <w:tr w:rsidR="00D37098" w14:paraId="3FF022C9" w14:textId="77777777">
        <w:trPr>
          <w:cantSplit/>
          <w:trHeight w:val="576"/>
        </w:trPr>
        <w:tc>
          <w:tcPr>
            <w:tcW w:w="0" w:type="auto"/>
            <w:tcMar>
              <w:top w:w="80" w:type="dxa"/>
              <w:left w:w="120" w:type="dxa"/>
              <w:bottom w:w="80" w:type="dxa"/>
              <w:right w:w="120" w:type="dxa"/>
            </w:tcMar>
            <w:vAlign w:val="center"/>
          </w:tcPr>
          <w:p w14:paraId="54E2BCDF" w14:textId="77777777" w:rsidR="00D37098" w:rsidRDefault="00000000">
            <w:pPr>
              <w:pStyle w:val="MdTableCell"/>
            </w:pPr>
            <w:r>
              <w:rPr>
                <w:rStyle w:val="MdStrong"/>
              </w:rPr>
              <w:t>Thermal Efficiency</w:t>
            </w:r>
          </w:p>
        </w:tc>
        <w:tc>
          <w:tcPr>
            <w:tcW w:w="0" w:type="auto"/>
            <w:tcMar>
              <w:top w:w="80" w:type="dxa"/>
              <w:left w:w="120" w:type="dxa"/>
              <w:bottom w:w="80" w:type="dxa"/>
              <w:right w:w="120" w:type="dxa"/>
            </w:tcMar>
            <w:vAlign w:val="center"/>
          </w:tcPr>
          <w:p w14:paraId="19748ADC" w14:textId="77777777" w:rsidR="00D37098" w:rsidRDefault="00000000">
            <w:pPr>
              <w:pStyle w:val="MdTableCell"/>
            </w:pPr>
            <w:r>
              <w:t>60%</w:t>
            </w:r>
          </w:p>
        </w:tc>
        <w:tc>
          <w:tcPr>
            <w:tcW w:w="0" w:type="auto"/>
            <w:tcMar>
              <w:top w:w="80" w:type="dxa"/>
              <w:left w:w="120" w:type="dxa"/>
              <w:bottom w:w="80" w:type="dxa"/>
              <w:right w:w="120" w:type="dxa"/>
            </w:tcMar>
            <w:vAlign w:val="center"/>
          </w:tcPr>
          <w:p w14:paraId="26FFD737" w14:textId="77777777" w:rsidR="00D37098" w:rsidRDefault="00000000">
            <w:pPr>
              <w:pStyle w:val="MdTableCell"/>
            </w:pPr>
            <w:r>
              <w:t>For wood feedstock (LHV basis)</w:t>
            </w:r>
          </w:p>
        </w:tc>
      </w:tr>
      <w:tr w:rsidR="00D37098" w14:paraId="60AF210C" w14:textId="77777777">
        <w:trPr>
          <w:cantSplit/>
          <w:trHeight w:val="576"/>
        </w:trPr>
        <w:tc>
          <w:tcPr>
            <w:tcW w:w="0" w:type="auto"/>
            <w:tcMar>
              <w:top w:w="80" w:type="dxa"/>
              <w:left w:w="120" w:type="dxa"/>
              <w:bottom w:w="80" w:type="dxa"/>
              <w:right w:w="120" w:type="dxa"/>
            </w:tcMar>
            <w:vAlign w:val="center"/>
          </w:tcPr>
          <w:p w14:paraId="7A734FA2" w14:textId="77777777" w:rsidR="00D37098" w:rsidRDefault="00000000">
            <w:pPr>
              <w:pStyle w:val="MdTableCell"/>
            </w:pPr>
            <w:r>
              <w:rPr>
                <w:rStyle w:val="MdStrong"/>
              </w:rPr>
              <w:t>Total System Efficiency</w:t>
            </w:r>
          </w:p>
        </w:tc>
        <w:tc>
          <w:tcPr>
            <w:tcW w:w="0" w:type="auto"/>
            <w:tcMar>
              <w:top w:w="80" w:type="dxa"/>
              <w:left w:w="120" w:type="dxa"/>
              <w:bottom w:w="80" w:type="dxa"/>
              <w:right w:w="120" w:type="dxa"/>
            </w:tcMar>
            <w:vAlign w:val="center"/>
          </w:tcPr>
          <w:p w14:paraId="34C2F928" w14:textId="77777777" w:rsidR="00D37098" w:rsidRDefault="00000000">
            <w:pPr>
              <w:pStyle w:val="MdTableCell"/>
            </w:pPr>
            <w:r>
              <w:t>85%</w:t>
            </w:r>
          </w:p>
        </w:tc>
        <w:tc>
          <w:tcPr>
            <w:tcW w:w="0" w:type="auto"/>
            <w:tcMar>
              <w:top w:w="80" w:type="dxa"/>
              <w:left w:w="120" w:type="dxa"/>
              <w:bottom w:w="80" w:type="dxa"/>
              <w:right w:w="120" w:type="dxa"/>
            </w:tcMar>
            <w:vAlign w:val="center"/>
          </w:tcPr>
          <w:p w14:paraId="36DD3E63" w14:textId="77777777" w:rsidR="00D37098" w:rsidRDefault="00000000">
            <w:pPr>
              <w:pStyle w:val="MdTableCell"/>
            </w:pPr>
            <w:r>
              <w:t>Combined heat and power (CHP) configuration</w:t>
            </w:r>
          </w:p>
        </w:tc>
      </w:tr>
      <w:tr w:rsidR="00D37098" w14:paraId="52BC14BD" w14:textId="77777777">
        <w:trPr>
          <w:cantSplit/>
          <w:trHeight w:val="576"/>
        </w:trPr>
        <w:tc>
          <w:tcPr>
            <w:tcW w:w="0" w:type="auto"/>
            <w:tcMar>
              <w:top w:w="80" w:type="dxa"/>
              <w:left w:w="120" w:type="dxa"/>
              <w:bottom w:w="80" w:type="dxa"/>
              <w:right w:w="120" w:type="dxa"/>
            </w:tcMar>
            <w:vAlign w:val="center"/>
          </w:tcPr>
          <w:p w14:paraId="3993B555" w14:textId="77777777" w:rsidR="00D37098" w:rsidRDefault="00000000">
            <w:pPr>
              <w:pStyle w:val="MdTableCell"/>
            </w:pPr>
            <w:r>
              <w:rPr>
                <w:rStyle w:val="MdStrong"/>
              </w:rPr>
              <w:t>Feedstock Consumption Rate</w:t>
            </w:r>
          </w:p>
        </w:tc>
        <w:tc>
          <w:tcPr>
            <w:tcW w:w="0" w:type="auto"/>
            <w:tcMar>
              <w:top w:w="80" w:type="dxa"/>
              <w:left w:w="120" w:type="dxa"/>
              <w:bottom w:w="80" w:type="dxa"/>
              <w:right w:w="120" w:type="dxa"/>
            </w:tcMar>
            <w:vAlign w:val="center"/>
          </w:tcPr>
          <w:p w14:paraId="72A04DE6" w14:textId="77777777" w:rsidR="00D37098" w:rsidRDefault="00000000">
            <w:pPr>
              <w:pStyle w:val="MdTableCell"/>
            </w:pPr>
            <w:r>
              <w:t>150 kg/hr</w:t>
            </w:r>
          </w:p>
        </w:tc>
        <w:tc>
          <w:tcPr>
            <w:tcW w:w="0" w:type="auto"/>
            <w:tcMar>
              <w:top w:w="80" w:type="dxa"/>
              <w:left w:w="120" w:type="dxa"/>
              <w:bottom w:w="80" w:type="dxa"/>
              <w:right w:w="120" w:type="dxa"/>
            </w:tcMar>
            <w:vAlign w:val="center"/>
          </w:tcPr>
          <w:p w14:paraId="0AD97076" w14:textId="77777777" w:rsidR="00D37098" w:rsidRDefault="00000000">
            <w:pPr>
              <w:pStyle w:val="MdTableCell"/>
            </w:pPr>
            <w:r>
              <w:t>3.6 tonnes/day at continuous operation</w:t>
            </w:r>
          </w:p>
        </w:tc>
      </w:tr>
      <w:tr w:rsidR="00D37098" w14:paraId="625B9C59" w14:textId="77777777">
        <w:trPr>
          <w:cantSplit/>
          <w:trHeight w:val="576"/>
        </w:trPr>
        <w:tc>
          <w:tcPr>
            <w:tcW w:w="0" w:type="auto"/>
            <w:tcMar>
              <w:top w:w="80" w:type="dxa"/>
              <w:left w:w="120" w:type="dxa"/>
              <w:bottom w:w="80" w:type="dxa"/>
              <w:right w:w="120" w:type="dxa"/>
            </w:tcMar>
            <w:vAlign w:val="center"/>
          </w:tcPr>
          <w:p w14:paraId="14748781" w14:textId="77777777" w:rsidR="00D37098" w:rsidRDefault="00000000">
            <w:pPr>
              <w:pStyle w:val="MdTableCell"/>
            </w:pPr>
            <w:r>
              <w:rPr>
                <w:rStyle w:val="MdStrong"/>
              </w:rPr>
              <w:t>Syngas Production Rate</w:t>
            </w:r>
          </w:p>
        </w:tc>
        <w:tc>
          <w:tcPr>
            <w:tcW w:w="0" w:type="auto"/>
            <w:tcMar>
              <w:top w:w="80" w:type="dxa"/>
              <w:left w:w="120" w:type="dxa"/>
              <w:bottom w:w="80" w:type="dxa"/>
              <w:right w:w="120" w:type="dxa"/>
            </w:tcMar>
            <w:vAlign w:val="center"/>
          </w:tcPr>
          <w:p w14:paraId="557F2878" w14:textId="77777777" w:rsidR="00D37098" w:rsidRDefault="00000000">
            <w:pPr>
              <w:pStyle w:val="MdTableCell"/>
            </w:pPr>
            <w:r>
              <w:t>650-730 Nm³/hr</w:t>
            </w:r>
          </w:p>
        </w:tc>
        <w:tc>
          <w:tcPr>
            <w:tcW w:w="0" w:type="auto"/>
            <w:tcMar>
              <w:top w:w="80" w:type="dxa"/>
              <w:left w:w="120" w:type="dxa"/>
              <w:bottom w:w="80" w:type="dxa"/>
              <w:right w:w="120" w:type="dxa"/>
            </w:tcMar>
            <w:vAlign w:val="center"/>
          </w:tcPr>
          <w:p w14:paraId="0A405DD0" w14:textId="77777777" w:rsidR="00D37098" w:rsidRDefault="00000000">
            <w:pPr>
              <w:pStyle w:val="MdTableCell"/>
            </w:pPr>
            <w:r>
              <w:t>Varies with feedstock composition</w:t>
            </w:r>
          </w:p>
        </w:tc>
      </w:tr>
      <w:tr w:rsidR="00D37098" w14:paraId="3A04272B" w14:textId="77777777">
        <w:trPr>
          <w:cantSplit/>
          <w:trHeight w:val="576"/>
        </w:trPr>
        <w:tc>
          <w:tcPr>
            <w:tcW w:w="0" w:type="auto"/>
            <w:tcMar>
              <w:top w:w="80" w:type="dxa"/>
              <w:left w:w="120" w:type="dxa"/>
              <w:bottom w:w="80" w:type="dxa"/>
              <w:right w:w="120" w:type="dxa"/>
            </w:tcMar>
            <w:vAlign w:val="center"/>
          </w:tcPr>
          <w:p w14:paraId="6F89ED7A" w14:textId="77777777" w:rsidR="00D37098" w:rsidRDefault="00000000">
            <w:pPr>
              <w:pStyle w:val="MdTableCell"/>
            </w:pPr>
            <w:r>
              <w:rPr>
                <w:rStyle w:val="MdStrong"/>
              </w:rPr>
              <w:t>Operating Temperature</w:t>
            </w:r>
          </w:p>
        </w:tc>
        <w:tc>
          <w:tcPr>
            <w:tcW w:w="0" w:type="auto"/>
            <w:tcMar>
              <w:top w:w="80" w:type="dxa"/>
              <w:left w:w="120" w:type="dxa"/>
              <w:bottom w:w="80" w:type="dxa"/>
              <w:right w:w="120" w:type="dxa"/>
            </w:tcMar>
            <w:vAlign w:val="center"/>
          </w:tcPr>
          <w:p w14:paraId="196857C9" w14:textId="77777777" w:rsidR="00D37098" w:rsidRDefault="00000000">
            <w:pPr>
              <w:pStyle w:val="MdTableCell"/>
            </w:pPr>
            <w:r>
              <w:t>1,100°C</w:t>
            </w:r>
          </w:p>
        </w:tc>
        <w:tc>
          <w:tcPr>
            <w:tcW w:w="0" w:type="auto"/>
            <w:tcMar>
              <w:top w:w="80" w:type="dxa"/>
              <w:left w:w="120" w:type="dxa"/>
              <w:bottom w:w="80" w:type="dxa"/>
              <w:right w:w="120" w:type="dxa"/>
            </w:tcMar>
            <w:vAlign w:val="center"/>
          </w:tcPr>
          <w:p w14:paraId="52FC743D" w14:textId="77777777" w:rsidR="00D37098" w:rsidRDefault="00000000">
            <w:pPr>
              <w:pStyle w:val="MdTableCell"/>
            </w:pPr>
            <w:r>
              <w:t>Gasification zone</w:t>
            </w:r>
          </w:p>
        </w:tc>
      </w:tr>
      <w:tr w:rsidR="00D37098" w14:paraId="30BC1D29" w14:textId="77777777">
        <w:trPr>
          <w:cantSplit/>
          <w:trHeight w:val="576"/>
        </w:trPr>
        <w:tc>
          <w:tcPr>
            <w:tcW w:w="0" w:type="auto"/>
            <w:tcMar>
              <w:top w:w="80" w:type="dxa"/>
              <w:left w:w="120" w:type="dxa"/>
              <w:bottom w:w="80" w:type="dxa"/>
              <w:right w:w="120" w:type="dxa"/>
            </w:tcMar>
            <w:vAlign w:val="center"/>
          </w:tcPr>
          <w:p w14:paraId="4C5F82BF" w14:textId="77777777" w:rsidR="00D37098" w:rsidRDefault="00000000">
            <w:pPr>
              <w:pStyle w:val="MdTableCell"/>
            </w:pPr>
            <w:r>
              <w:rPr>
                <w:rStyle w:val="MdStrong"/>
              </w:rPr>
              <w:t>Operating Pressure</w:t>
            </w:r>
          </w:p>
        </w:tc>
        <w:tc>
          <w:tcPr>
            <w:tcW w:w="0" w:type="auto"/>
            <w:tcMar>
              <w:top w:w="80" w:type="dxa"/>
              <w:left w:w="120" w:type="dxa"/>
              <w:bottom w:w="80" w:type="dxa"/>
              <w:right w:w="120" w:type="dxa"/>
            </w:tcMar>
            <w:vAlign w:val="center"/>
          </w:tcPr>
          <w:p w14:paraId="0727C955" w14:textId="77777777" w:rsidR="00D37098" w:rsidRDefault="00000000">
            <w:pPr>
              <w:pStyle w:val="MdTableCell"/>
            </w:pPr>
            <w:r>
              <w:t xml:space="preserve">1 </w:t>
            </w:r>
            <w:proofErr w:type="spellStart"/>
            <w:r>
              <w:t>atm</w:t>
            </w:r>
            <w:proofErr w:type="spellEnd"/>
          </w:p>
        </w:tc>
        <w:tc>
          <w:tcPr>
            <w:tcW w:w="0" w:type="auto"/>
            <w:tcMar>
              <w:top w:w="80" w:type="dxa"/>
              <w:left w:w="120" w:type="dxa"/>
              <w:bottom w:w="80" w:type="dxa"/>
              <w:right w:w="120" w:type="dxa"/>
            </w:tcMar>
            <w:vAlign w:val="center"/>
          </w:tcPr>
          <w:p w14:paraId="1C638398" w14:textId="77777777" w:rsidR="00D37098" w:rsidRDefault="00000000">
            <w:pPr>
              <w:pStyle w:val="MdTableCell"/>
            </w:pPr>
            <w:r>
              <w:t>Atmospheric pressure operation</w:t>
            </w:r>
          </w:p>
        </w:tc>
      </w:tr>
      <w:tr w:rsidR="00D37098" w14:paraId="4A5E1679" w14:textId="77777777">
        <w:trPr>
          <w:cantSplit/>
          <w:trHeight w:val="576"/>
        </w:trPr>
        <w:tc>
          <w:tcPr>
            <w:tcW w:w="0" w:type="auto"/>
            <w:tcMar>
              <w:top w:w="80" w:type="dxa"/>
              <w:left w:w="120" w:type="dxa"/>
              <w:bottom w:w="80" w:type="dxa"/>
              <w:right w:w="120" w:type="dxa"/>
            </w:tcMar>
            <w:vAlign w:val="center"/>
          </w:tcPr>
          <w:p w14:paraId="3BB7778D" w14:textId="77777777" w:rsidR="00D37098" w:rsidRDefault="00000000">
            <w:pPr>
              <w:pStyle w:val="MdTableCell"/>
            </w:pPr>
            <w:r>
              <w:rPr>
                <w:rStyle w:val="MdStrong"/>
              </w:rPr>
              <w:t>Maximum Feedstock Moisture</w:t>
            </w:r>
          </w:p>
        </w:tc>
        <w:tc>
          <w:tcPr>
            <w:tcW w:w="0" w:type="auto"/>
            <w:tcMar>
              <w:top w:w="80" w:type="dxa"/>
              <w:left w:w="120" w:type="dxa"/>
              <w:bottom w:w="80" w:type="dxa"/>
              <w:right w:w="120" w:type="dxa"/>
            </w:tcMar>
            <w:vAlign w:val="center"/>
          </w:tcPr>
          <w:p w14:paraId="087224E8" w14:textId="77777777" w:rsidR="00D37098" w:rsidRDefault="00000000">
            <w:pPr>
              <w:pStyle w:val="MdTableCell"/>
            </w:pPr>
            <w:r>
              <w:t>15%</w:t>
            </w:r>
          </w:p>
        </w:tc>
        <w:tc>
          <w:tcPr>
            <w:tcW w:w="0" w:type="auto"/>
            <w:tcMar>
              <w:top w:w="80" w:type="dxa"/>
              <w:left w:w="120" w:type="dxa"/>
              <w:bottom w:w="80" w:type="dxa"/>
              <w:right w:w="120" w:type="dxa"/>
            </w:tcMar>
            <w:vAlign w:val="center"/>
          </w:tcPr>
          <w:p w14:paraId="1DFE931A" w14:textId="77777777" w:rsidR="00D37098" w:rsidRDefault="00000000">
            <w:pPr>
              <w:pStyle w:val="MdTableCell"/>
            </w:pPr>
            <w:r>
              <w:t>Higher moisture reduces efficiency</w:t>
            </w:r>
          </w:p>
        </w:tc>
      </w:tr>
      <w:tr w:rsidR="00D37098" w14:paraId="07A76C71" w14:textId="77777777">
        <w:trPr>
          <w:cantSplit/>
          <w:trHeight w:val="576"/>
        </w:trPr>
        <w:tc>
          <w:tcPr>
            <w:tcW w:w="0" w:type="auto"/>
            <w:tcMar>
              <w:top w:w="80" w:type="dxa"/>
              <w:left w:w="120" w:type="dxa"/>
              <w:bottom w:w="80" w:type="dxa"/>
              <w:right w:w="120" w:type="dxa"/>
            </w:tcMar>
            <w:vAlign w:val="center"/>
          </w:tcPr>
          <w:p w14:paraId="16910B7B" w14:textId="77777777" w:rsidR="00D37098" w:rsidRDefault="00000000">
            <w:pPr>
              <w:pStyle w:val="MdTableCell"/>
            </w:pPr>
            <w:r>
              <w:rPr>
                <w:rStyle w:val="MdStrong"/>
              </w:rPr>
              <w:t>Parasitic Load</w:t>
            </w:r>
          </w:p>
        </w:tc>
        <w:tc>
          <w:tcPr>
            <w:tcW w:w="0" w:type="auto"/>
            <w:tcMar>
              <w:top w:w="80" w:type="dxa"/>
              <w:left w:w="120" w:type="dxa"/>
              <w:bottom w:w="80" w:type="dxa"/>
              <w:right w:w="120" w:type="dxa"/>
            </w:tcMar>
            <w:vAlign w:val="center"/>
          </w:tcPr>
          <w:p w14:paraId="55723A42" w14:textId="77777777" w:rsidR="00D37098" w:rsidRDefault="00000000">
            <w:pPr>
              <w:pStyle w:val="MdTableCell"/>
            </w:pPr>
            <w:r>
              <w:t>5-10 kW</w:t>
            </w:r>
          </w:p>
        </w:tc>
        <w:tc>
          <w:tcPr>
            <w:tcW w:w="0" w:type="auto"/>
            <w:tcMar>
              <w:top w:w="80" w:type="dxa"/>
              <w:left w:w="120" w:type="dxa"/>
              <w:bottom w:w="80" w:type="dxa"/>
              <w:right w:w="120" w:type="dxa"/>
            </w:tcMar>
            <w:vAlign w:val="center"/>
          </w:tcPr>
          <w:p w14:paraId="1A31E83F" w14:textId="77777777" w:rsidR="00D37098" w:rsidRDefault="00000000">
            <w:pPr>
              <w:pStyle w:val="MdTableCell"/>
            </w:pPr>
            <w:r>
              <w:t>Fans, controls, feedstock handling</w:t>
            </w:r>
          </w:p>
        </w:tc>
      </w:tr>
      <w:tr w:rsidR="00D37098" w14:paraId="355E08FE"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3CF7DD54" w14:textId="77777777" w:rsidR="00D37098" w:rsidRDefault="00000000">
            <w:pPr>
              <w:pStyle w:val="MdTableCell"/>
            </w:pPr>
            <w:r>
              <w:rPr>
                <w:rStyle w:val="MdStrong"/>
              </w:rPr>
              <w:t>Net Electrical Output</w:t>
            </w:r>
          </w:p>
        </w:tc>
        <w:tc>
          <w:tcPr>
            <w:tcW w:w="0" w:type="auto"/>
            <w:tcBorders>
              <w:bottom w:val="single" w:sz="4" w:space="0" w:color="E1E4E8"/>
            </w:tcBorders>
            <w:tcMar>
              <w:top w:w="80" w:type="dxa"/>
              <w:left w:w="120" w:type="dxa"/>
              <w:bottom w:w="80" w:type="dxa"/>
              <w:right w:w="120" w:type="dxa"/>
            </w:tcMar>
            <w:vAlign w:val="center"/>
          </w:tcPr>
          <w:p w14:paraId="0BF2B4CA" w14:textId="77777777" w:rsidR="00D37098" w:rsidRDefault="00000000">
            <w:pPr>
              <w:pStyle w:val="MdTableCell"/>
            </w:pPr>
            <w:r>
              <w:t>140-145 kW</w:t>
            </w:r>
          </w:p>
        </w:tc>
        <w:tc>
          <w:tcPr>
            <w:tcW w:w="0" w:type="auto"/>
            <w:tcBorders>
              <w:bottom w:val="single" w:sz="4" w:space="0" w:color="E1E4E8"/>
            </w:tcBorders>
            <w:tcMar>
              <w:top w:w="80" w:type="dxa"/>
              <w:left w:w="120" w:type="dxa"/>
              <w:bottom w:w="80" w:type="dxa"/>
              <w:right w:w="120" w:type="dxa"/>
            </w:tcMar>
            <w:vAlign w:val="center"/>
          </w:tcPr>
          <w:p w14:paraId="790E519E" w14:textId="77777777" w:rsidR="00D37098" w:rsidRDefault="00000000">
            <w:pPr>
              <w:pStyle w:val="MdTableCell"/>
            </w:pPr>
            <w:r>
              <w:t>After parasitic load deduction</w:t>
            </w:r>
          </w:p>
        </w:tc>
      </w:tr>
    </w:tbl>
    <w:p w14:paraId="738BD602" w14:textId="77777777" w:rsidR="00D37098" w:rsidRDefault="00000000">
      <w:pPr>
        <w:pStyle w:val="MdHeading3"/>
      </w:pPr>
      <w:r>
        <w:t>2.2 Syngas Composition and Quality</w:t>
      </w:r>
    </w:p>
    <w:p w14:paraId="569DED7B" w14:textId="77777777" w:rsidR="00D37098" w:rsidRDefault="00000000">
      <w:pPr>
        <w:pStyle w:val="MdParagraph"/>
      </w:pPr>
      <w:r>
        <w:t>Syngas composition varies based on feedstock type, moisture content, and operating conditions. Representative values for wood feedstock:</w:t>
      </w:r>
    </w:p>
    <w:p w14:paraId="03AC711D" w14:textId="77777777" w:rsidR="00D37098" w:rsidRDefault="00D37098">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3692"/>
        <w:gridCol w:w="1842"/>
        <w:gridCol w:w="3492"/>
      </w:tblGrid>
      <w:tr w:rsidR="00D37098" w14:paraId="61BBD3D8" w14:textId="77777777">
        <w:trPr>
          <w:cantSplit/>
          <w:trHeight w:val="720"/>
          <w:tblHeader/>
        </w:trPr>
        <w:tc>
          <w:tcPr>
            <w:tcW w:w="0" w:type="auto"/>
            <w:tcMar>
              <w:top w:w="100" w:type="dxa"/>
              <w:left w:w="120" w:type="dxa"/>
              <w:bottom w:w="100" w:type="dxa"/>
              <w:right w:w="120" w:type="dxa"/>
            </w:tcMar>
            <w:vAlign w:val="center"/>
          </w:tcPr>
          <w:p w14:paraId="097C0875" w14:textId="77777777" w:rsidR="00D37098" w:rsidRDefault="00000000">
            <w:pPr>
              <w:pStyle w:val="MdTableHeader"/>
            </w:pPr>
            <w:r>
              <w:lastRenderedPageBreak/>
              <w:t>Component</w:t>
            </w:r>
          </w:p>
        </w:tc>
        <w:tc>
          <w:tcPr>
            <w:tcW w:w="0" w:type="auto"/>
            <w:tcMar>
              <w:top w:w="100" w:type="dxa"/>
              <w:left w:w="120" w:type="dxa"/>
              <w:bottom w:w="100" w:type="dxa"/>
              <w:right w:w="120" w:type="dxa"/>
            </w:tcMar>
            <w:vAlign w:val="center"/>
          </w:tcPr>
          <w:p w14:paraId="765D1657" w14:textId="77777777" w:rsidR="00D37098" w:rsidRDefault="00000000">
            <w:pPr>
              <w:pStyle w:val="MdTableHeader"/>
            </w:pPr>
            <w:r>
              <w:t>Typical Range</w:t>
            </w:r>
          </w:p>
        </w:tc>
        <w:tc>
          <w:tcPr>
            <w:tcW w:w="0" w:type="auto"/>
            <w:tcMar>
              <w:top w:w="100" w:type="dxa"/>
              <w:left w:w="120" w:type="dxa"/>
              <w:bottom w:w="100" w:type="dxa"/>
              <w:right w:w="120" w:type="dxa"/>
            </w:tcMar>
            <w:vAlign w:val="center"/>
          </w:tcPr>
          <w:p w14:paraId="6C2EFD64" w14:textId="77777777" w:rsidR="00D37098" w:rsidRDefault="00000000">
            <w:pPr>
              <w:pStyle w:val="MdTableHeader"/>
            </w:pPr>
            <w:r>
              <w:t>Notes</w:t>
            </w:r>
          </w:p>
        </w:tc>
      </w:tr>
      <w:tr w:rsidR="00D37098" w14:paraId="201FEF98" w14:textId="77777777">
        <w:trPr>
          <w:cantSplit/>
          <w:trHeight w:val="576"/>
        </w:trPr>
        <w:tc>
          <w:tcPr>
            <w:tcW w:w="0" w:type="auto"/>
            <w:tcMar>
              <w:top w:w="80" w:type="dxa"/>
              <w:left w:w="120" w:type="dxa"/>
              <w:bottom w:w="80" w:type="dxa"/>
              <w:right w:w="120" w:type="dxa"/>
            </w:tcMar>
            <w:vAlign w:val="center"/>
          </w:tcPr>
          <w:p w14:paraId="7DBB02AC" w14:textId="77777777" w:rsidR="00D37098" w:rsidRDefault="00000000">
            <w:pPr>
              <w:pStyle w:val="MdTableCell"/>
            </w:pPr>
            <w:r>
              <w:rPr>
                <w:rStyle w:val="MdStrong"/>
              </w:rPr>
              <w:t>Hydrogen (H₂)</w:t>
            </w:r>
          </w:p>
        </w:tc>
        <w:tc>
          <w:tcPr>
            <w:tcW w:w="0" w:type="auto"/>
            <w:tcMar>
              <w:top w:w="80" w:type="dxa"/>
              <w:left w:w="120" w:type="dxa"/>
              <w:bottom w:w="80" w:type="dxa"/>
              <w:right w:w="120" w:type="dxa"/>
            </w:tcMar>
            <w:vAlign w:val="center"/>
          </w:tcPr>
          <w:p w14:paraId="0A626E55" w14:textId="77777777" w:rsidR="00D37098" w:rsidRDefault="00000000">
            <w:pPr>
              <w:pStyle w:val="MdTableCell"/>
            </w:pPr>
            <w:r>
              <w:t>15-20%</w:t>
            </w:r>
          </w:p>
        </w:tc>
        <w:tc>
          <w:tcPr>
            <w:tcW w:w="0" w:type="auto"/>
            <w:tcMar>
              <w:top w:w="80" w:type="dxa"/>
              <w:left w:w="120" w:type="dxa"/>
              <w:bottom w:w="80" w:type="dxa"/>
              <w:right w:w="120" w:type="dxa"/>
            </w:tcMar>
            <w:vAlign w:val="center"/>
          </w:tcPr>
          <w:p w14:paraId="7D2F7171" w14:textId="77777777" w:rsidR="00D37098" w:rsidRDefault="00000000">
            <w:pPr>
              <w:pStyle w:val="MdTableCell"/>
            </w:pPr>
            <w:r>
              <w:t>Primary combustible component</w:t>
            </w:r>
          </w:p>
        </w:tc>
      </w:tr>
      <w:tr w:rsidR="00D37098" w14:paraId="1FF9D9D0" w14:textId="77777777">
        <w:trPr>
          <w:cantSplit/>
          <w:trHeight w:val="576"/>
        </w:trPr>
        <w:tc>
          <w:tcPr>
            <w:tcW w:w="0" w:type="auto"/>
            <w:tcMar>
              <w:top w:w="80" w:type="dxa"/>
              <w:left w:w="120" w:type="dxa"/>
              <w:bottom w:w="80" w:type="dxa"/>
              <w:right w:w="120" w:type="dxa"/>
            </w:tcMar>
            <w:vAlign w:val="center"/>
          </w:tcPr>
          <w:p w14:paraId="0437514C" w14:textId="77777777" w:rsidR="00D37098" w:rsidRDefault="00000000">
            <w:pPr>
              <w:pStyle w:val="MdTableCell"/>
            </w:pPr>
            <w:r>
              <w:rPr>
                <w:rStyle w:val="MdStrong"/>
              </w:rPr>
              <w:t>Carbon Monoxide (CO)</w:t>
            </w:r>
          </w:p>
        </w:tc>
        <w:tc>
          <w:tcPr>
            <w:tcW w:w="0" w:type="auto"/>
            <w:tcMar>
              <w:top w:w="80" w:type="dxa"/>
              <w:left w:w="120" w:type="dxa"/>
              <w:bottom w:w="80" w:type="dxa"/>
              <w:right w:w="120" w:type="dxa"/>
            </w:tcMar>
            <w:vAlign w:val="center"/>
          </w:tcPr>
          <w:p w14:paraId="59367121" w14:textId="77777777" w:rsidR="00D37098" w:rsidRDefault="00000000">
            <w:pPr>
              <w:pStyle w:val="MdTableCell"/>
            </w:pPr>
            <w:r>
              <w:t>18-22%</w:t>
            </w:r>
          </w:p>
        </w:tc>
        <w:tc>
          <w:tcPr>
            <w:tcW w:w="0" w:type="auto"/>
            <w:tcMar>
              <w:top w:w="80" w:type="dxa"/>
              <w:left w:w="120" w:type="dxa"/>
              <w:bottom w:w="80" w:type="dxa"/>
              <w:right w:w="120" w:type="dxa"/>
            </w:tcMar>
            <w:vAlign w:val="center"/>
          </w:tcPr>
          <w:p w14:paraId="189ED263" w14:textId="77777777" w:rsidR="00D37098" w:rsidRDefault="00000000">
            <w:pPr>
              <w:pStyle w:val="MdTableCell"/>
            </w:pPr>
            <w:r>
              <w:t>Primary combustible component</w:t>
            </w:r>
          </w:p>
        </w:tc>
      </w:tr>
      <w:tr w:rsidR="00D37098" w14:paraId="3163E764" w14:textId="77777777">
        <w:trPr>
          <w:cantSplit/>
          <w:trHeight w:val="576"/>
        </w:trPr>
        <w:tc>
          <w:tcPr>
            <w:tcW w:w="0" w:type="auto"/>
            <w:tcMar>
              <w:top w:w="80" w:type="dxa"/>
              <w:left w:w="120" w:type="dxa"/>
              <w:bottom w:w="80" w:type="dxa"/>
              <w:right w:w="120" w:type="dxa"/>
            </w:tcMar>
            <w:vAlign w:val="center"/>
          </w:tcPr>
          <w:p w14:paraId="4F25BCBB" w14:textId="77777777" w:rsidR="00D37098" w:rsidRDefault="00000000">
            <w:pPr>
              <w:pStyle w:val="MdTableCell"/>
            </w:pPr>
            <w:r>
              <w:rPr>
                <w:rStyle w:val="MdStrong"/>
              </w:rPr>
              <w:t>Carbon Dioxide (CO₂)</w:t>
            </w:r>
          </w:p>
        </w:tc>
        <w:tc>
          <w:tcPr>
            <w:tcW w:w="0" w:type="auto"/>
            <w:tcMar>
              <w:top w:w="80" w:type="dxa"/>
              <w:left w:w="120" w:type="dxa"/>
              <w:bottom w:w="80" w:type="dxa"/>
              <w:right w:w="120" w:type="dxa"/>
            </w:tcMar>
            <w:vAlign w:val="center"/>
          </w:tcPr>
          <w:p w14:paraId="75C6264D" w14:textId="77777777" w:rsidR="00D37098" w:rsidRDefault="00000000">
            <w:pPr>
              <w:pStyle w:val="MdTableCell"/>
            </w:pPr>
            <w:r>
              <w:t>10-15%</w:t>
            </w:r>
          </w:p>
        </w:tc>
        <w:tc>
          <w:tcPr>
            <w:tcW w:w="0" w:type="auto"/>
            <w:tcMar>
              <w:top w:w="80" w:type="dxa"/>
              <w:left w:w="120" w:type="dxa"/>
              <w:bottom w:w="80" w:type="dxa"/>
              <w:right w:w="120" w:type="dxa"/>
            </w:tcMar>
            <w:vAlign w:val="center"/>
          </w:tcPr>
          <w:p w14:paraId="4DB8460B" w14:textId="77777777" w:rsidR="00D37098" w:rsidRDefault="00000000">
            <w:pPr>
              <w:pStyle w:val="MdTableCell"/>
            </w:pPr>
            <w:r>
              <w:t>Inert diluent</w:t>
            </w:r>
          </w:p>
        </w:tc>
      </w:tr>
      <w:tr w:rsidR="00D37098" w14:paraId="23523AD4" w14:textId="77777777">
        <w:trPr>
          <w:cantSplit/>
          <w:trHeight w:val="576"/>
        </w:trPr>
        <w:tc>
          <w:tcPr>
            <w:tcW w:w="0" w:type="auto"/>
            <w:tcMar>
              <w:top w:w="80" w:type="dxa"/>
              <w:left w:w="120" w:type="dxa"/>
              <w:bottom w:w="80" w:type="dxa"/>
              <w:right w:w="120" w:type="dxa"/>
            </w:tcMar>
            <w:vAlign w:val="center"/>
          </w:tcPr>
          <w:p w14:paraId="60B0C789" w14:textId="77777777" w:rsidR="00D37098" w:rsidRDefault="00000000">
            <w:pPr>
              <w:pStyle w:val="MdTableCell"/>
            </w:pPr>
            <w:r>
              <w:rPr>
                <w:rStyle w:val="MdStrong"/>
              </w:rPr>
              <w:t>Methane (CH₄)</w:t>
            </w:r>
          </w:p>
        </w:tc>
        <w:tc>
          <w:tcPr>
            <w:tcW w:w="0" w:type="auto"/>
            <w:tcMar>
              <w:top w:w="80" w:type="dxa"/>
              <w:left w:w="120" w:type="dxa"/>
              <w:bottom w:w="80" w:type="dxa"/>
              <w:right w:w="120" w:type="dxa"/>
            </w:tcMar>
            <w:vAlign w:val="center"/>
          </w:tcPr>
          <w:p w14:paraId="78E3B54C" w14:textId="77777777" w:rsidR="00D37098" w:rsidRDefault="00000000">
            <w:pPr>
              <w:pStyle w:val="MdTableCell"/>
            </w:pPr>
            <w:r>
              <w:t>2-4%</w:t>
            </w:r>
          </w:p>
        </w:tc>
        <w:tc>
          <w:tcPr>
            <w:tcW w:w="0" w:type="auto"/>
            <w:tcMar>
              <w:top w:w="80" w:type="dxa"/>
              <w:left w:w="120" w:type="dxa"/>
              <w:bottom w:w="80" w:type="dxa"/>
              <w:right w:w="120" w:type="dxa"/>
            </w:tcMar>
            <w:vAlign w:val="center"/>
          </w:tcPr>
          <w:p w14:paraId="52AF1F57" w14:textId="77777777" w:rsidR="00D37098" w:rsidRDefault="00000000">
            <w:pPr>
              <w:pStyle w:val="MdTableCell"/>
            </w:pPr>
            <w:r>
              <w:t>Combustible hydrocarbon</w:t>
            </w:r>
          </w:p>
        </w:tc>
      </w:tr>
      <w:tr w:rsidR="00D37098" w14:paraId="46026423" w14:textId="77777777">
        <w:trPr>
          <w:cantSplit/>
          <w:trHeight w:val="576"/>
        </w:trPr>
        <w:tc>
          <w:tcPr>
            <w:tcW w:w="0" w:type="auto"/>
            <w:tcMar>
              <w:top w:w="80" w:type="dxa"/>
              <w:left w:w="120" w:type="dxa"/>
              <w:bottom w:w="80" w:type="dxa"/>
              <w:right w:w="120" w:type="dxa"/>
            </w:tcMar>
            <w:vAlign w:val="center"/>
          </w:tcPr>
          <w:p w14:paraId="24A791E9" w14:textId="77777777" w:rsidR="00D37098" w:rsidRDefault="00000000">
            <w:pPr>
              <w:pStyle w:val="MdTableCell"/>
            </w:pPr>
            <w:r>
              <w:rPr>
                <w:rStyle w:val="MdStrong"/>
              </w:rPr>
              <w:t>Nitrogen (N₂)</w:t>
            </w:r>
          </w:p>
        </w:tc>
        <w:tc>
          <w:tcPr>
            <w:tcW w:w="0" w:type="auto"/>
            <w:tcMar>
              <w:top w:w="80" w:type="dxa"/>
              <w:left w:w="120" w:type="dxa"/>
              <w:bottom w:w="80" w:type="dxa"/>
              <w:right w:w="120" w:type="dxa"/>
            </w:tcMar>
            <w:vAlign w:val="center"/>
          </w:tcPr>
          <w:p w14:paraId="4B9568A4" w14:textId="77777777" w:rsidR="00D37098" w:rsidRDefault="00000000">
            <w:pPr>
              <w:pStyle w:val="MdTableCell"/>
            </w:pPr>
            <w:r>
              <w:t>45-50%</w:t>
            </w:r>
          </w:p>
        </w:tc>
        <w:tc>
          <w:tcPr>
            <w:tcW w:w="0" w:type="auto"/>
            <w:tcMar>
              <w:top w:w="80" w:type="dxa"/>
              <w:left w:w="120" w:type="dxa"/>
              <w:bottom w:w="80" w:type="dxa"/>
              <w:right w:w="120" w:type="dxa"/>
            </w:tcMar>
            <w:vAlign w:val="center"/>
          </w:tcPr>
          <w:p w14:paraId="3DDC42FB" w14:textId="77777777" w:rsidR="00D37098" w:rsidRDefault="00000000">
            <w:pPr>
              <w:pStyle w:val="MdTableCell"/>
            </w:pPr>
            <w:r>
              <w:t>Inert diluent (from air gasification)</w:t>
            </w:r>
          </w:p>
        </w:tc>
      </w:tr>
      <w:tr w:rsidR="00D37098" w14:paraId="037B4B22" w14:textId="77777777">
        <w:trPr>
          <w:cantSplit/>
          <w:trHeight w:val="576"/>
        </w:trPr>
        <w:tc>
          <w:tcPr>
            <w:tcW w:w="0" w:type="auto"/>
            <w:tcMar>
              <w:top w:w="80" w:type="dxa"/>
              <w:left w:w="120" w:type="dxa"/>
              <w:bottom w:w="80" w:type="dxa"/>
              <w:right w:w="120" w:type="dxa"/>
            </w:tcMar>
            <w:vAlign w:val="center"/>
          </w:tcPr>
          <w:p w14:paraId="64C85B18" w14:textId="77777777" w:rsidR="00D37098" w:rsidRDefault="00000000">
            <w:pPr>
              <w:pStyle w:val="MdTableCell"/>
            </w:pPr>
            <w:r>
              <w:rPr>
                <w:rStyle w:val="MdStrong"/>
              </w:rPr>
              <w:t>Lower Heating Value (LHV)</w:t>
            </w:r>
          </w:p>
        </w:tc>
        <w:tc>
          <w:tcPr>
            <w:tcW w:w="0" w:type="auto"/>
            <w:tcMar>
              <w:top w:w="80" w:type="dxa"/>
              <w:left w:w="120" w:type="dxa"/>
              <w:bottom w:w="80" w:type="dxa"/>
              <w:right w:w="120" w:type="dxa"/>
            </w:tcMar>
            <w:vAlign w:val="center"/>
          </w:tcPr>
          <w:p w14:paraId="755B9363" w14:textId="77777777" w:rsidR="00D37098" w:rsidRDefault="00000000">
            <w:pPr>
              <w:pStyle w:val="MdTableCell"/>
            </w:pPr>
            <w:r>
              <w:t>4.5-5.5 MJ/Nm³</w:t>
            </w:r>
          </w:p>
        </w:tc>
        <w:tc>
          <w:tcPr>
            <w:tcW w:w="0" w:type="auto"/>
            <w:tcMar>
              <w:top w:w="80" w:type="dxa"/>
              <w:left w:w="120" w:type="dxa"/>
              <w:bottom w:w="80" w:type="dxa"/>
              <w:right w:w="120" w:type="dxa"/>
            </w:tcMar>
            <w:vAlign w:val="center"/>
          </w:tcPr>
          <w:p w14:paraId="55323DD7" w14:textId="77777777" w:rsidR="00D37098" w:rsidRDefault="00000000">
            <w:pPr>
              <w:pStyle w:val="MdTableCell"/>
            </w:pPr>
            <w:r>
              <w:t>Energy content of syngas</w:t>
            </w:r>
          </w:p>
        </w:tc>
      </w:tr>
      <w:tr w:rsidR="00D37098" w14:paraId="2B9C83F9" w14:textId="77777777">
        <w:trPr>
          <w:cantSplit/>
          <w:trHeight w:val="576"/>
        </w:trPr>
        <w:tc>
          <w:tcPr>
            <w:tcW w:w="0" w:type="auto"/>
            <w:tcMar>
              <w:top w:w="80" w:type="dxa"/>
              <w:left w:w="120" w:type="dxa"/>
              <w:bottom w:w="80" w:type="dxa"/>
              <w:right w:w="120" w:type="dxa"/>
            </w:tcMar>
            <w:vAlign w:val="center"/>
          </w:tcPr>
          <w:p w14:paraId="2BFE0BA7" w14:textId="77777777" w:rsidR="00D37098" w:rsidRDefault="00000000">
            <w:pPr>
              <w:pStyle w:val="MdTableCell"/>
            </w:pPr>
            <w:r>
              <w:rPr>
                <w:rStyle w:val="MdStrong"/>
              </w:rPr>
              <w:t xml:space="preserve">Tar Content (before </w:t>
            </w:r>
            <w:proofErr w:type="spellStart"/>
            <w:r>
              <w:rPr>
                <w:rStyle w:val="MdStrong"/>
              </w:rPr>
              <w:t>SyngaPure</w:t>
            </w:r>
            <w:proofErr w:type="spellEnd"/>
            <w:r>
              <w:rPr>
                <w:rStyle w:val="MdStrong"/>
              </w:rPr>
              <w:t>™)</w:t>
            </w:r>
          </w:p>
        </w:tc>
        <w:tc>
          <w:tcPr>
            <w:tcW w:w="0" w:type="auto"/>
            <w:tcMar>
              <w:top w:w="80" w:type="dxa"/>
              <w:left w:w="120" w:type="dxa"/>
              <w:bottom w:w="80" w:type="dxa"/>
              <w:right w:w="120" w:type="dxa"/>
            </w:tcMar>
            <w:vAlign w:val="center"/>
          </w:tcPr>
          <w:p w14:paraId="4C11D744" w14:textId="77777777" w:rsidR="00D37098" w:rsidRDefault="00000000">
            <w:pPr>
              <w:pStyle w:val="MdTableCell"/>
            </w:pPr>
            <w:r>
              <w:t>8 ppm</w:t>
            </w:r>
          </w:p>
        </w:tc>
        <w:tc>
          <w:tcPr>
            <w:tcW w:w="0" w:type="auto"/>
            <w:tcMar>
              <w:top w:w="80" w:type="dxa"/>
              <w:left w:w="120" w:type="dxa"/>
              <w:bottom w:w="80" w:type="dxa"/>
              <w:right w:w="120" w:type="dxa"/>
            </w:tcMar>
            <w:vAlign w:val="center"/>
          </w:tcPr>
          <w:p w14:paraId="637C1E1F" w14:textId="77777777" w:rsidR="00D37098" w:rsidRDefault="00000000">
            <w:pPr>
              <w:pStyle w:val="MdTableCell"/>
            </w:pPr>
            <w:r>
              <w:t>For wood feedstock</w:t>
            </w:r>
          </w:p>
        </w:tc>
      </w:tr>
      <w:tr w:rsidR="00D37098" w14:paraId="72CAEAF3"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2E7FB2D6" w14:textId="77777777" w:rsidR="00D37098" w:rsidRDefault="00000000">
            <w:pPr>
              <w:pStyle w:val="MdTableCell"/>
            </w:pPr>
            <w:r>
              <w:rPr>
                <w:rStyle w:val="MdStrong"/>
              </w:rPr>
              <w:t xml:space="preserve">Tar Content (after </w:t>
            </w:r>
            <w:proofErr w:type="spellStart"/>
            <w:r>
              <w:rPr>
                <w:rStyle w:val="MdStrong"/>
              </w:rPr>
              <w:t>SyngaPure</w:t>
            </w:r>
            <w:proofErr w:type="spellEnd"/>
            <w:r>
              <w:rPr>
                <w:rStyle w:val="MdStrong"/>
              </w:rPr>
              <w:t>™)</w:t>
            </w:r>
          </w:p>
        </w:tc>
        <w:tc>
          <w:tcPr>
            <w:tcW w:w="0" w:type="auto"/>
            <w:tcBorders>
              <w:bottom w:val="single" w:sz="4" w:space="0" w:color="E1E4E8"/>
            </w:tcBorders>
            <w:tcMar>
              <w:top w:w="80" w:type="dxa"/>
              <w:left w:w="120" w:type="dxa"/>
              <w:bottom w:w="80" w:type="dxa"/>
              <w:right w:w="120" w:type="dxa"/>
            </w:tcMar>
            <w:vAlign w:val="center"/>
          </w:tcPr>
          <w:p w14:paraId="73FC8B3D" w14:textId="77777777" w:rsidR="00D37098" w:rsidRDefault="00000000">
            <w:pPr>
              <w:pStyle w:val="MdTableCell"/>
            </w:pPr>
            <w:r>
              <w:t>0.48 ppm</w:t>
            </w:r>
          </w:p>
        </w:tc>
        <w:tc>
          <w:tcPr>
            <w:tcW w:w="0" w:type="auto"/>
            <w:tcBorders>
              <w:bottom w:val="single" w:sz="4" w:space="0" w:color="E1E4E8"/>
            </w:tcBorders>
            <w:tcMar>
              <w:top w:w="80" w:type="dxa"/>
              <w:left w:w="120" w:type="dxa"/>
              <w:bottom w:w="80" w:type="dxa"/>
              <w:right w:w="120" w:type="dxa"/>
            </w:tcMar>
            <w:vAlign w:val="center"/>
          </w:tcPr>
          <w:p w14:paraId="3A7698A6" w14:textId="77777777" w:rsidR="00D37098" w:rsidRDefault="00000000">
            <w:pPr>
              <w:pStyle w:val="MdTableCell"/>
            </w:pPr>
            <w:r>
              <w:t>94% reduction</w:t>
            </w:r>
          </w:p>
        </w:tc>
      </w:tr>
    </w:tbl>
    <w:p w14:paraId="6DA45387" w14:textId="77777777" w:rsidR="00D37098" w:rsidRDefault="00000000">
      <w:pPr>
        <w:pStyle w:val="MdParagraph"/>
      </w:pPr>
      <w:r>
        <w:rPr>
          <w:rStyle w:val="MdStrong"/>
        </w:rPr>
        <w:t>Note:</w:t>
      </w:r>
      <w:r>
        <w:t xml:space="preserve"> Syngas composition is highly dependent on feedstock characteristics. Municipal solid waste, agricultural residues, and other feedstocks will produce different H₂/CO ratios and may have higher baseline tar content requiring additional catalyst capacity.</w:t>
      </w:r>
    </w:p>
    <w:p w14:paraId="54254792" w14:textId="77777777" w:rsidR="00D37098" w:rsidRDefault="00D37098">
      <w:pPr>
        <w:pStyle w:val="MdSpace"/>
        <w:spacing w:after="60"/>
      </w:pPr>
    </w:p>
    <w:p w14:paraId="35378AAD" w14:textId="77777777" w:rsidR="00D37098" w:rsidRDefault="00000000">
      <w:pPr>
        <w:pStyle w:val="MdHeading3"/>
      </w:pPr>
      <w:r>
        <w:t>2.3 Feedstock Requirements</w:t>
      </w:r>
    </w:p>
    <w:p w14:paraId="2ECFD222" w14:textId="77777777" w:rsidR="00D37098" w:rsidRDefault="00000000">
      <w:pPr>
        <w:pStyle w:val="MdParagraph"/>
      </w:pPr>
      <w:r>
        <w:t>The X-150 is designed to handle diverse waste feedstocks, but optimal performance requires feedstock preparation:</w:t>
      </w:r>
    </w:p>
    <w:p w14:paraId="75BD4089" w14:textId="77777777" w:rsidR="00D37098" w:rsidRDefault="00D37098">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736"/>
        <w:gridCol w:w="1864"/>
        <w:gridCol w:w="5426"/>
      </w:tblGrid>
      <w:tr w:rsidR="00D37098" w14:paraId="1A1DD4FA" w14:textId="77777777">
        <w:trPr>
          <w:cantSplit/>
          <w:trHeight w:val="720"/>
          <w:tblHeader/>
        </w:trPr>
        <w:tc>
          <w:tcPr>
            <w:tcW w:w="0" w:type="auto"/>
            <w:tcMar>
              <w:top w:w="100" w:type="dxa"/>
              <w:left w:w="120" w:type="dxa"/>
              <w:bottom w:w="100" w:type="dxa"/>
              <w:right w:w="120" w:type="dxa"/>
            </w:tcMar>
            <w:vAlign w:val="center"/>
          </w:tcPr>
          <w:p w14:paraId="7861ADF8" w14:textId="77777777" w:rsidR="00D37098" w:rsidRDefault="00000000">
            <w:pPr>
              <w:pStyle w:val="MdTableHeader"/>
            </w:pPr>
            <w:r>
              <w:t>Requirement</w:t>
            </w:r>
          </w:p>
        </w:tc>
        <w:tc>
          <w:tcPr>
            <w:tcW w:w="0" w:type="auto"/>
            <w:tcMar>
              <w:top w:w="100" w:type="dxa"/>
              <w:left w:w="120" w:type="dxa"/>
              <w:bottom w:w="100" w:type="dxa"/>
              <w:right w:w="120" w:type="dxa"/>
            </w:tcMar>
            <w:vAlign w:val="center"/>
          </w:tcPr>
          <w:p w14:paraId="565BFA01" w14:textId="77777777" w:rsidR="00D37098" w:rsidRDefault="00000000">
            <w:pPr>
              <w:pStyle w:val="MdTableHeader"/>
            </w:pPr>
            <w:r>
              <w:t>Specification</w:t>
            </w:r>
          </w:p>
        </w:tc>
        <w:tc>
          <w:tcPr>
            <w:tcW w:w="0" w:type="auto"/>
            <w:tcMar>
              <w:top w:w="100" w:type="dxa"/>
              <w:left w:w="120" w:type="dxa"/>
              <w:bottom w:w="100" w:type="dxa"/>
              <w:right w:w="120" w:type="dxa"/>
            </w:tcMar>
            <w:vAlign w:val="center"/>
          </w:tcPr>
          <w:p w14:paraId="2192DC65" w14:textId="77777777" w:rsidR="00D37098" w:rsidRDefault="00000000">
            <w:pPr>
              <w:pStyle w:val="MdTableHeader"/>
            </w:pPr>
            <w:r>
              <w:t>Rationale</w:t>
            </w:r>
          </w:p>
        </w:tc>
      </w:tr>
      <w:tr w:rsidR="00D37098" w14:paraId="4E524A6C" w14:textId="77777777">
        <w:trPr>
          <w:cantSplit/>
          <w:trHeight w:val="576"/>
        </w:trPr>
        <w:tc>
          <w:tcPr>
            <w:tcW w:w="0" w:type="auto"/>
            <w:tcMar>
              <w:top w:w="80" w:type="dxa"/>
              <w:left w:w="120" w:type="dxa"/>
              <w:bottom w:w="80" w:type="dxa"/>
              <w:right w:w="120" w:type="dxa"/>
            </w:tcMar>
            <w:vAlign w:val="center"/>
          </w:tcPr>
          <w:p w14:paraId="05803CD6" w14:textId="77777777" w:rsidR="00D37098" w:rsidRDefault="00000000">
            <w:pPr>
              <w:pStyle w:val="MdTableCell"/>
            </w:pPr>
            <w:r>
              <w:rPr>
                <w:rStyle w:val="MdStrong"/>
              </w:rPr>
              <w:t>Particle Size</w:t>
            </w:r>
          </w:p>
        </w:tc>
        <w:tc>
          <w:tcPr>
            <w:tcW w:w="0" w:type="auto"/>
            <w:tcMar>
              <w:top w:w="80" w:type="dxa"/>
              <w:left w:w="120" w:type="dxa"/>
              <w:bottom w:w="80" w:type="dxa"/>
              <w:right w:w="120" w:type="dxa"/>
            </w:tcMar>
            <w:vAlign w:val="center"/>
          </w:tcPr>
          <w:p w14:paraId="23AA9232" w14:textId="77777777" w:rsidR="00D37098" w:rsidRDefault="00000000">
            <w:pPr>
              <w:pStyle w:val="MdTableCell"/>
            </w:pPr>
            <w:r>
              <w:t>10-50 mm</w:t>
            </w:r>
          </w:p>
        </w:tc>
        <w:tc>
          <w:tcPr>
            <w:tcW w:w="0" w:type="auto"/>
            <w:tcMar>
              <w:top w:w="80" w:type="dxa"/>
              <w:left w:w="120" w:type="dxa"/>
              <w:bottom w:w="80" w:type="dxa"/>
              <w:right w:w="120" w:type="dxa"/>
            </w:tcMar>
            <w:vAlign w:val="center"/>
          </w:tcPr>
          <w:p w14:paraId="61B74155" w14:textId="77777777" w:rsidR="00D37098" w:rsidRDefault="00000000">
            <w:pPr>
              <w:pStyle w:val="MdTableCell"/>
            </w:pPr>
            <w:r>
              <w:t>Ensures proper gas flow and complete gasification</w:t>
            </w:r>
          </w:p>
        </w:tc>
      </w:tr>
      <w:tr w:rsidR="00D37098" w14:paraId="0F9E78BA" w14:textId="77777777">
        <w:trPr>
          <w:cantSplit/>
          <w:trHeight w:val="576"/>
        </w:trPr>
        <w:tc>
          <w:tcPr>
            <w:tcW w:w="0" w:type="auto"/>
            <w:tcMar>
              <w:top w:w="80" w:type="dxa"/>
              <w:left w:w="120" w:type="dxa"/>
              <w:bottom w:w="80" w:type="dxa"/>
              <w:right w:w="120" w:type="dxa"/>
            </w:tcMar>
            <w:vAlign w:val="center"/>
          </w:tcPr>
          <w:p w14:paraId="45FDE454" w14:textId="77777777" w:rsidR="00D37098" w:rsidRDefault="00000000">
            <w:pPr>
              <w:pStyle w:val="MdTableCell"/>
            </w:pPr>
            <w:r>
              <w:rPr>
                <w:rStyle w:val="MdStrong"/>
              </w:rPr>
              <w:t>Moisture Content</w:t>
            </w:r>
          </w:p>
        </w:tc>
        <w:tc>
          <w:tcPr>
            <w:tcW w:w="0" w:type="auto"/>
            <w:tcMar>
              <w:top w:w="80" w:type="dxa"/>
              <w:left w:w="120" w:type="dxa"/>
              <w:bottom w:w="80" w:type="dxa"/>
              <w:right w:w="120" w:type="dxa"/>
            </w:tcMar>
            <w:vAlign w:val="center"/>
          </w:tcPr>
          <w:p w14:paraId="382D5537" w14:textId="77777777" w:rsidR="00D37098" w:rsidRDefault="00000000">
            <w:pPr>
              <w:pStyle w:val="MdTableCell"/>
            </w:pPr>
            <w:r>
              <w:t>&lt;15% preferred</w:t>
            </w:r>
          </w:p>
        </w:tc>
        <w:tc>
          <w:tcPr>
            <w:tcW w:w="0" w:type="auto"/>
            <w:tcMar>
              <w:top w:w="80" w:type="dxa"/>
              <w:left w:w="120" w:type="dxa"/>
              <w:bottom w:w="80" w:type="dxa"/>
              <w:right w:w="120" w:type="dxa"/>
            </w:tcMar>
            <w:vAlign w:val="center"/>
          </w:tcPr>
          <w:p w14:paraId="3E2AEBA2" w14:textId="77777777" w:rsidR="00D37098" w:rsidRDefault="00000000">
            <w:pPr>
              <w:pStyle w:val="MdTableCell"/>
            </w:pPr>
            <w:r>
              <w:t>Higher moisture reduces efficiency and may cause operational issues</w:t>
            </w:r>
          </w:p>
        </w:tc>
      </w:tr>
      <w:tr w:rsidR="00D37098" w14:paraId="244C87E3" w14:textId="77777777">
        <w:trPr>
          <w:cantSplit/>
          <w:trHeight w:val="576"/>
        </w:trPr>
        <w:tc>
          <w:tcPr>
            <w:tcW w:w="0" w:type="auto"/>
            <w:tcMar>
              <w:top w:w="80" w:type="dxa"/>
              <w:left w:w="120" w:type="dxa"/>
              <w:bottom w:w="80" w:type="dxa"/>
              <w:right w:w="120" w:type="dxa"/>
            </w:tcMar>
            <w:vAlign w:val="center"/>
          </w:tcPr>
          <w:p w14:paraId="4D8A2700" w14:textId="77777777" w:rsidR="00D37098" w:rsidRDefault="00000000">
            <w:pPr>
              <w:pStyle w:val="MdTableCell"/>
            </w:pPr>
            <w:r>
              <w:rPr>
                <w:rStyle w:val="MdStrong"/>
              </w:rPr>
              <w:t>Ash Content</w:t>
            </w:r>
          </w:p>
        </w:tc>
        <w:tc>
          <w:tcPr>
            <w:tcW w:w="0" w:type="auto"/>
            <w:tcMar>
              <w:top w:w="80" w:type="dxa"/>
              <w:left w:w="120" w:type="dxa"/>
              <w:bottom w:w="80" w:type="dxa"/>
              <w:right w:w="120" w:type="dxa"/>
            </w:tcMar>
            <w:vAlign w:val="center"/>
          </w:tcPr>
          <w:p w14:paraId="48070404" w14:textId="77777777" w:rsidR="00D37098" w:rsidRDefault="00000000">
            <w:pPr>
              <w:pStyle w:val="MdTableCell"/>
            </w:pPr>
            <w:r>
              <w:t>&lt;10% preferred</w:t>
            </w:r>
          </w:p>
        </w:tc>
        <w:tc>
          <w:tcPr>
            <w:tcW w:w="0" w:type="auto"/>
            <w:tcMar>
              <w:top w:w="80" w:type="dxa"/>
              <w:left w:w="120" w:type="dxa"/>
              <w:bottom w:w="80" w:type="dxa"/>
              <w:right w:w="120" w:type="dxa"/>
            </w:tcMar>
            <w:vAlign w:val="center"/>
          </w:tcPr>
          <w:p w14:paraId="5031DF33" w14:textId="77777777" w:rsidR="00D37098" w:rsidRDefault="00000000">
            <w:pPr>
              <w:pStyle w:val="MdTableCell"/>
            </w:pPr>
            <w:r>
              <w:t>High ash increases residue handling and may cause slagging</w:t>
            </w:r>
          </w:p>
        </w:tc>
      </w:tr>
      <w:tr w:rsidR="00D37098" w14:paraId="763FEF8A" w14:textId="77777777">
        <w:trPr>
          <w:cantSplit/>
          <w:trHeight w:val="576"/>
        </w:trPr>
        <w:tc>
          <w:tcPr>
            <w:tcW w:w="0" w:type="auto"/>
            <w:tcMar>
              <w:top w:w="80" w:type="dxa"/>
              <w:left w:w="120" w:type="dxa"/>
              <w:bottom w:w="80" w:type="dxa"/>
              <w:right w:w="120" w:type="dxa"/>
            </w:tcMar>
            <w:vAlign w:val="center"/>
          </w:tcPr>
          <w:p w14:paraId="2705D992" w14:textId="77777777" w:rsidR="00D37098" w:rsidRDefault="00000000">
            <w:pPr>
              <w:pStyle w:val="MdTableCell"/>
            </w:pPr>
            <w:r>
              <w:rPr>
                <w:rStyle w:val="MdStrong"/>
              </w:rPr>
              <w:t>Heating Value</w:t>
            </w:r>
          </w:p>
        </w:tc>
        <w:tc>
          <w:tcPr>
            <w:tcW w:w="0" w:type="auto"/>
            <w:tcMar>
              <w:top w:w="80" w:type="dxa"/>
              <w:left w:w="120" w:type="dxa"/>
              <w:bottom w:w="80" w:type="dxa"/>
              <w:right w:w="120" w:type="dxa"/>
            </w:tcMar>
            <w:vAlign w:val="center"/>
          </w:tcPr>
          <w:p w14:paraId="2678822B" w14:textId="77777777" w:rsidR="00D37098" w:rsidRDefault="00000000">
            <w:pPr>
              <w:pStyle w:val="MdTableCell"/>
            </w:pPr>
            <w:r>
              <w:t>&gt;12 MJ/kg preferred</w:t>
            </w:r>
          </w:p>
        </w:tc>
        <w:tc>
          <w:tcPr>
            <w:tcW w:w="0" w:type="auto"/>
            <w:tcMar>
              <w:top w:w="80" w:type="dxa"/>
              <w:left w:w="120" w:type="dxa"/>
              <w:bottom w:w="80" w:type="dxa"/>
              <w:right w:w="120" w:type="dxa"/>
            </w:tcMar>
            <w:vAlign w:val="center"/>
          </w:tcPr>
          <w:p w14:paraId="78267413" w14:textId="77777777" w:rsidR="00D37098" w:rsidRDefault="00000000">
            <w:pPr>
              <w:pStyle w:val="MdTableCell"/>
            </w:pPr>
            <w:r>
              <w:t>Lower heating values reduce net energy output</w:t>
            </w:r>
          </w:p>
        </w:tc>
      </w:tr>
      <w:tr w:rsidR="00D37098" w14:paraId="676E933F" w14:textId="77777777">
        <w:trPr>
          <w:cantSplit/>
          <w:trHeight w:val="576"/>
        </w:trPr>
        <w:tc>
          <w:tcPr>
            <w:tcW w:w="0" w:type="auto"/>
            <w:tcMar>
              <w:top w:w="80" w:type="dxa"/>
              <w:left w:w="120" w:type="dxa"/>
              <w:bottom w:w="80" w:type="dxa"/>
              <w:right w:w="120" w:type="dxa"/>
            </w:tcMar>
            <w:vAlign w:val="center"/>
          </w:tcPr>
          <w:p w14:paraId="0DD57E0B" w14:textId="77777777" w:rsidR="00D37098" w:rsidRDefault="00000000">
            <w:pPr>
              <w:pStyle w:val="MdTableCell"/>
            </w:pPr>
            <w:r>
              <w:rPr>
                <w:rStyle w:val="MdStrong"/>
              </w:rPr>
              <w:lastRenderedPageBreak/>
              <w:t>Chlorine Content</w:t>
            </w:r>
          </w:p>
        </w:tc>
        <w:tc>
          <w:tcPr>
            <w:tcW w:w="0" w:type="auto"/>
            <w:tcMar>
              <w:top w:w="80" w:type="dxa"/>
              <w:left w:w="120" w:type="dxa"/>
              <w:bottom w:w="80" w:type="dxa"/>
              <w:right w:w="120" w:type="dxa"/>
            </w:tcMar>
            <w:vAlign w:val="center"/>
          </w:tcPr>
          <w:p w14:paraId="525117AE" w14:textId="77777777" w:rsidR="00D37098" w:rsidRDefault="00000000">
            <w:pPr>
              <w:pStyle w:val="MdTableCell"/>
            </w:pPr>
            <w:r>
              <w:t>&lt;0.5% preferred</w:t>
            </w:r>
          </w:p>
        </w:tc>
        <w:tc>
          <w:tcPr>
            <w:tcW w:w="0" w:type="auto"/>
            <w:tcMar>
              <w:top w:w="80" w:type="dxa"/>
              <w:left w:w="120" w:type="dxa"/>
              <w:bottom w:w="80" w:type="dxa"/>
              <w:right w:w="120" w:type="dxa"/>
            </w:tcMar>
            <w:vAlign w:val="center"/>
          </w:tcPr>
          <w:p w14:paraId="0C064415" w14:textId="77777777" w:rsidR="00D37098" w:rsidRDefault="00000000">
            <w:pPr>
              <w:pStyle w:val="MdTableCell"/>
            </w:pPr>
            <w:r>
              <w:t>High chlorine causes corrosion and HCl emissions</w:t>
            </w:r>
          </w:p>
        </w:tc>
      </w:tr>
      <w:tr w:rsidR="00D37098" w14:paraId="64C05AFF" w14:textId="77777777">
        <w:trPr>
          <w:cantSplit/>
          <w:trHeight w:val="576"/>
        </w:trPr>
        <w:tc>
          <w:tcPr>
            <w:tcW w:w="0" w:type="auto"/>
            <w:tcMar>
              <w:top w:w="80" w:type="dxa"/>
              <w:left w:w="120" w:type="dxa"/>
              <w:bottom w:w="80" w:type="dxa"/>
              <w:right w:w="120" w:type="dxa"/>
            </w:tcMar>
            <w:vAlign w:val="center"/>
          </w:tcPr>
          <w:p w14:paraId="1813CBE1" w14:textId="77777777" w:rsidR="00D37098" w:rsidRDefault="00000000">
            <w:pPr>
              <w:pStyle w:val="MdTableCell"/>
            </w:pPr>
            <w:proofErr w:type="spellStart"/>
            <w:r>
              <w:rPr>
                <w:rStyle w:val="MdStrong"/>
              </w:rPr>
              <w:t>Sulfur</w:t>
            </w:r>
            <w:proofErr w:type="spellEnd"/>
            <w:r>
              <w:rPr>
                <w:rStyle w:val="MdStrong"/>
              </w:rPr>
              <w:t xml:space="preserve"> Content</w:t>
            </w:r>
          </w:p>
        </w:tc>
        <w:tc>
          <w:tcPr>
            <w:tcW w:w="0" w:type="auto"/>
            <w:tcMar>
              <w:top w:w="80" w:type="dxa"/>
              <w:left w:w="120" w:type="dxa"/>
              <w:bottom w:w="80" w:type="dxa"/>
              <w:right w:w="120" w:type="dxa"/>
            </w:tcMar>
            <w:vAlign w:val="center"/>
          </w:tcPr>
          <w:p w14:paraId="4A81311B" w14:textId="77777777" w:rsidR="00D37098" w:rsidRDefault="00000000">
            <w:pPr>
              <w:pStyle w:val="MdTableCell"/>
            </w:pPr>
            <w:r>
              <w:t>&lt;0.3% preferred</w:t>
            </w:r>
          </w:p>
        </w:tc>
        <w:tc>
          <w:tcPr>
            <w:tcW w:w="0" w:type="auto"/>
            <w:tcMar>
              <w:top w:w="80" w:type="dxa"/>
              <w:left w:w="120" w:type="dxa"/>
              <w:bottom w:w="80" w:type="dxa"/>
              <w:right w:w="120" w:type="dxa"/>
            </w:tcMar>
            <w:vAlign w:val="center"/>
          </w:tcPr>
          <w:p w14:paraId="5945C5C1" w14:textId="77777777" w:rsidR="00D37098" w:rsidRDefault="00000000">
            <w:pPr>
              <w:pStyle w:val="MdTableCell"/>
            </w:pPr>
            <w:r>
              <w:t xml:space="preserve">High </w:t>
            </w:r>
            <w:proofErr w:type="spellStart"/>
            <w:r>
              <w:t>sulfur</w:t>
            </w:r>
            <w:proofErr w:type="spellEnd"/>
            <w:r>
              <w:t xml:space="preserve"> causes SO₂ emissions and catalyst poisoning</w:t>
            </w:r>
          </w:p>
        </w:tc>
      </w:tr>
      <w:tr w:rsidR="00D37098" w14:paraId="62C4E5D3"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426FD954" w14:textId="77777777" w:rsidR="00D37098" w:rsidRDefault="00000000">
            <w:pPr>
              <w:pStyle w:val="MdTableCell"/>
            </w:pPr>
            <w:r>
              <w:rPr>
                <w:rStyle w:val="MdStrong"/>
              </w:rPr>
              <w:t>Heavy Metals</w:t>
            </w:r>
          </w:p>
        </w:tc>
        <w:tc>
          <w:tcPr>
            <w:tcW w:w="0" w:type="auto"/>
            <w:tcBorders>
              <w:bottom w:val="single" w:sz="4" w:space="0" w:color="E1E4E8"/>
            </w:tcBorders>
            <w:tcMar>
              <w:top w:w="80" w:type="dxa"/>
              <w:left w:w="120" w:type="dxa"/>
              <w:bottom w:w="80" w:type="dxa"/>
              <w:right w:w="120" w:type="dxa"/>
            </w:tcMar>
            <w:vAlign w:val="center"/>
          </w:tcPr>
          <w:p w14:paraId="57F14C8C" w14:textId="77777777" w:rsidR="00D37098" w:rsidRDefault="00000000">
            <w:pPr>
              <w:pStyle w:val="MdTableCell"/>
            </w:pPr>
            <w:r>
              <w:t>Minimal</w:t>
            </w:r>
          </w:p>
        </w:tc>
        <w:tc>
          <w:tcPr>
            <w:tcW w:w="0" w:type="auto"/>
            <w:tcBorders>
              <w:bottom w:val="single" w:sz="4" w:space="0" w:color="E1E4E8"/>
            </w:tcBorders>
            <w:tcMar>
              <w:top w:w="80" w:type="dxa"/>
              <w:left w:w="120" w:type="dxa"/>
              <w:bottom w:w="80" w:type="dxa"/>
              <w:right w:w="120" w:type="dxa"/>
            </w:tcMar>
            <w:vAlign w:val="center"/>
          </w:tcPr>
          <w:p w14:paraId="5F127950" w14:textId="77777777" w:rsidR="00D37098" w:rsidRDefault="00000000">
            <w:pPr>
              <w:pStyle w:val="MdTableCell"/>
            </w:pPr>
            <w:r>
              <w:t>Concentrates in ash and may require special disposal</w:t>
            </w:r>
          </w:p>
        </w:tc>
      </w:tr>
    </w:tbl>
    <w:p w14:paraId="36B1C1D8" w14:textId="77777777" w:rsidR="00D37098" w:rsidRDefault="00000000">
      <w:pPr>
        <w:pStyle w:val="MdParagraph"/>
      </w:pPr>
      <w:r>
        <w:rPr>
          <w:rStyle w:val="MdStrong"/>
        </w:rPr>
        <w:t>Feedstock Preparation:</w:t>
      </w:r>
      <w:r>
        <w:t xml:space="preserve"> Most waste streams require some level of preparation including shredding, drying, and contaminant removal. The economics of feedstock preparation must be factored into overall project costs.</w:t>
      </w:r>
    </w:p>
    <w:p w14:paraId="5C664E6A" w14:textId="77777777" w:rsidR="00D37098" w:rsidRDefault="00D37098">
      <w:pPr>
        <w:pStyle w:val="MdSpace"/>
        <w:spacing w:after="60"/>
      </w:pPr>
    </w:p>
    <w:p w14:paraId="5BDB1545" w14:textId="77777777" w:rsidR="00D37098" w:rsidRDefault="00000000">
      <w:pPr>
        <w:pStyle w:val="MdHeading3"/>
      </w:pPr>
      <w:r>
        <w:t>2.4 Emissions and Environmental Performance</w:t>
      </w:r>
    </w:p>
    <w:p w14:paraId="7ECBCCF5" w14:textId="77777777" w:rsidR="00D37098" w:rsidRDefault="00000000">
      <w:pPr>
        <w:pStyle w:val="MdParagraph"/>
      </w:pPr>
      <w:r>
        <w:t xml:space="preserve">The X-150 with </w:t>
      </w:r>
      <w:proofErr w:type="spellStart"/>
      <w:r>
        <w:t>SyngaPure</w:t>
      </w:r>
      <w:proofErr w:type="spellEnd"/>
      <w:r>
        <w:t>™ catalyst integration produces significantly cleaner emissions than conventional waste combustion technologies:</w:t>
      </w:r>
    </w:p>
    <w:p w14:paraId="6B82CB7C" w14:textId="77777777" w:rsidR="00D37098" w:rsidRDefault="00D37098">
      <w:pPr>
        <w:pStyle w:val="MdSpace"/>
        <w:spacing w:after="60"/>
      </w:pPr>
    </w:p>
    <w:p w14:paraId="13C55740" w14:textId="77777777" w:rsidR="00D37098" w:rsidRDefault="00000000">
      <w:pPr>
        <w:pStyle w:val="MdParagraph"/>
      </w:pPr>
      <w:r>
        <w:rPr>
          <w:rStyle w:val="MdStrong"/>
        </w:rPr>
        <w:t>Advantages Over Incineration:</w:t>
      </w:r>
    </w:p>
    <w:p w14:paraId="14B0E7D4" w14:textId="77777777" w:rsidR="00D37098" w:rsidRDefault="00000000">
      <w:pPr>
        <w:pStyle w:val="MdListItem"/>
        <w:numPr>
          <w:ilvl w:val="0"/>
          <w:numId w:val="2"/>
        </w:numPr>
      </w:pPr>
      <w:r>
        <w:rPr>
          <w:rStyle w:val="MdStrong"/>
        </w:rPr>
        <w:t>Lower NOx:</w:t>
      </w:r>
      <w:r>
        <w:t xml:space="preserve"> Gasification operates at lower temperatures than combustion, reducing thermal NOx formation</w:t>
      </w:r>
    </w:p>
    <w:p w14:paraId="61BA5E9F" w14:textId="77777777" w:rsidR="00D37098" w:rsidRDefault="00000000">
      <w:pPr>
        <w:pStyle w:val="MdListItem"/>
        <w:numPr>
          <w:ilvl w:val="0"/>
          <w:numId w:val="2"/>
        </w:numPr>
      </w:pPr>
      <w:r>
        <w:rPr>
          <w:rStyle w:val="MdStrong"/>
        </w:rPr>
        <w:t>Lower Particulate Matter:</w:t>
      </w:r>
      <w:r>
        <w:t xml:space="preserve"> Ceramic candle filters remove &gt;99.9% of particulates before syngas combustion</w:t>
      </w:r>
    </w:p>
    <w:p w14:paraId="45CCD2DA" w14:textId="77777777" w:rsidR="00D37098" w:rsidRDefault="00000000">
      <w:pPr>
        <w:pStyle w:val="MdListItem"/>
        <w:numPr>
          <w:ilvl w:val="0"/>
          <w:numId w:val="2"/>
        </w:numPr>
      </w:pPr>
      <w:r>
        <w:rPr>
          <w:rStyle w:val="MdStrong"/>
        </w:rPr>
        <w:t>Tar Elimination:</w:t>
      </w:r>
      <w:r>
        <w:t xml:space="preserve"> </w:t>
      </w:r>
      <w:proofErr w:type="spellStart"/>
      <w:r>
        <w:t>SyngaPure</w:t>
      </w:r>
      <w:proofErr w:type="spellEnd"/>
      <w:r>
        <w:t>™ removes tar that would otherwise form toxic polycyclic aromatic hydrocarbons (PAHs)</w:t>
      </w:r>
    </w:p>
    <w:p w14:paraId="5DC1CDE9" w14:textId="77777777" w:rsidR="00D37098" w:rsidRDefault="00000000">
      <w:pPr>
        <w:pStyle w:val="MdListItem"/>
        <w:numPr>
          <w:ilvl w:val="0"/>
          <w:numId w:val="2"/>
        </w:numPr>
      </w:pPr>
      <w:r>
        <w:rPr>
          <w:rStyle w:val="MdStrong"/>
        </w:rPr>
        <w:t>Controlled Combustion:</w:t>
      </w:r>
      <w:r>
        <w:t xml:space="preserve"> Clean syngas enables precise combustion control in engines or turbines, optimizing emissions</w:t>
      </w:r>
    </w:p>
    <w:p w14:paraId="6F053FE1" w14:textId="77777777" w:rsidR="00D37098" w:rsidRDefault="00D37098">
      <w:pPr>
        <w:pStyle w:val="MdSpace"/>
        <w:spacing w:after="60"/>
      </w:pPr>
    </w:p>
    <w:p w14:paraId="37708B95" w14:textId="77777777" w:rsidR="00D37098" w:rsidRDefault="00000000">
      <w:pPr>
        <w:pStyle w:val="MdParagraph"/>
      </w:pPr>
      <w:r>
        <w:rPr>
          <w:rStyle w:val="MdStrong"/>
        </w:rPr>
        <w:t>Note:</w:t>
      </w:r>
      <w:r>
        <w:t xml:space="preserve"> Detailed emissions testing data is currently limited. Comprehensive emissions characterization across multiple feedstocks is a priority for future development and regulatory approval.</w:t>
      </w:r>
    </w:p>
    <w:p w14:paraId="73A79BE2" w14:textId="77777777" w:rsidR="00D37098" w:rsidRDefault="00D37098">
      <w:pPr>
        <w:pStyle w:val="MdSpace"/>
        <w:spacing w:after="60"/>
      </w:pPr>
    </w:p>
    <w:p w14:paraId="00141542" w14:textId="77777777" w:rsidR="00D37098" w:rsidRDefault="00000000">
      <w:pPr>
        <w:pStyle w:val="MdHeading3"/>
      </w:pPr>
      <w:r>
        <w:t>2.5 Operational Characteristics</w:t>
      </w:r>
    </w:p>
    <w:p w14:paraId="1D8024AC" w14:textId="77777777" w:rsidR="00D37098" w:rsidRDefault="00000000">
      <w:pPr>
        <w:pStyle w:val="MdParagraph"/>
      </w:pPr>
      <w:r>
        <w:rPr>
          <w:rStyle w:val="MdStrong"/>
        </w:rPr>
        <w:t>Load Flexibility:</w:t>
      </w:r>
      <w:r>
        <w:t xml:space="preserve"> The X-150 can operate at ±20% of rated capacity, allowing some adjustment to match varying waste availability or energy demand. However, significant load changes may require operational adjustments and can affect efficiency.</w:t>
      </w:r>
    </w:p>
    <w:p w14:paraId="580BADF4" w14:textId="77777777" w:rsidR="00D37098" w:rsidRDefault="00D37098">
      <w:pPr>
        <w:pStyle w:val="MdSpace"/>
        <w:spacing w:after="60"/>
      </w:pPr>
    </w:p>
    <w:p w14:paraId="531D5E74" w14:textId="77777777" w:rsidR="00D37098" w:rsidRDefault="00000000">
      <w:pPr>
        <w:pStyle w:val="MdParagraph"/>
      </w:pPr>
      <w:r>
        <w:rPr>
          <w:rStyle w:val="MdStrong"/>
        </w:rPr>
        <w:t>Startup Time:</w:t>
      </w:r>
      <w:r>
        <w:t xml:space="preserve"> Cold start to full operation typically requires 2-4 hours to bring the gasifier up to operating temperature and stabilize syngas production.</w:t>
      </w:r>
    </w:p>
    <w:p w14:paraId="28BD68CD" w14:textId="77777777" w:rsidR="00D37098" w:rsidRDefault="00D37098">
      <w:pPr>
        <w:pStyle w:val="MdSpace"/>
        <w:spacing w:after="60"/>
      </w:pPr>
    </w:p>
    <w:p w14:paraId="056A4017" w14:textId="77777777" w:rsidR="00D37098" w:rsidRDefault="00000000">
      <w:pPr>
        <w:pStyle w:val="MdParagraph"/>
      </w:pPr>
      <w:r>
        <w:rPr>
          <w:rStyle w:val="MdStrong"/>
        </w:rPr>
        <w:t>Shutdown:</w:t>
      </w:r>
      <w:r>
        <w:t xml:space="preserve"> Controlled shutdown requires 1-2 hours to safely cool the gasifier and purge residual syngas.</w:t>
      </w:r>
    </w:p>
    <w:p w14:paraId="58296DFF" w14:textId="77777777" w:rsidR="00D37098" w:rsidRDefault="00D37098">
      <w:pPr>
        <w:pStyle w:val="MdSpace"/>
        <w:spacing w:after="60"/>
      </w:pPr>
    </w:p>
    <w:p w14:paraId="486DBFF4" w14:textId="77777777" w:rsidR="00D37098" w:rsidRDefault="00000000">
      <w:pPr>
        <w:pStyle w:val="MdParagraph"/>
      </w:pPr>
      <w:r>
        <w:rPr>
          <w:rStyle w:val="MdStrong"/>
        </w:rPr>
        <w:t>Maintenance Intervals:</w:t>
      </w:r>
    </w:p>
    <w:p w14:paraId="3569D832" w14:textId="77777777" w:rsidR="00D37098" w:rsidRDefault="00000000">
      <w:pPr>
        <w:pStyle w:val="MdListItem"/>
        <w:numPr>
          <w:ilvl w:val="0"/>
          <w:numId w:val="2"/>
        </w:numPr>
      </w:pPr>
      <w:r>
        <w:rPr>
          <w:rStyle w:val="MdStrong"/>
        </w:rPr>
        <w:t>Daily:</w:t>
      </w:r>
      <w:r>
        <w:t xml:space="preserve"> Ash removal, visual inspection, data logging review</w:t>
      </w:r>
    </w:p>
    <w:p w14:paraId="3897C6DD" w14:textId="77777777" w:rsidR="00D37098" w:rsidRDefault="00000000">
      <w:pPr>
        <w:pStyle w:val="MdListItem"/>
        <w:numPr>
          <w:ilvl w:val="0"/>
          <w:numId w:val="2"/>
        </w:numPr>
      </w:pPr>
      <w:r>
        <w:rPr>
          <w:rStyle w:val="MdStrong"/>
        </w:rPr>
        <w:t>Weekly:</w:t>
      </w:r>
      <w:r>
        <w:t xml:space="preserve"> Filter cleaning/replacement, feedstock system maintenance</w:t>
      </w:r>
    </w:p>
    <w:p w14:paraId="31B4D7D0" w14:textId="77777777" w:rsidR="00D37098" w:rsidRDefault="00000000">
      <w:pPr>
        <w:pStyle w:val="MdListItem"/>
        <w:numPr>
          <w:ilvl w:val="0"/>
          <w:numId w:val="2"/>
        </w:numPr>
      </w:pPr>
      <w:r>
        <w:rPr>
          <w:rStyle w:val="MdStrong"/>
        </w:rPr>
        <w:t>Monthly:</w:t>
      </w:r>
      <w:r>
        <w:t xml:space="preserve"> Detailed inspection, catalyst performance monitoring</w:t>
      </w:r>
    </w:p>
    <w:p w14:paraId="01C82401" w14:textId="77777777" w:rsidR="00D37098" w:rsidRDefault="00000000">
      <w:pPr>
        <w:pStyle w:val="MdListItem"/>
        <w:numPr>
          <w:ilvl w:val="0"/>
          <w:numId w:val="2"/>
        </w:numPr>
      </w:pPr>
      <w:r>
        <w:rPr>
          <w:rStyle w:val="MdStrong"/>
        </w:rPr>
        <w:t>Quarterly:</w:t>
      </w:r>
      <w:r>
        <w:t xml:space="preserve"> Major component inspection, gasifier refractory check</w:t>
      </w:r>
    </w:p>
    <w:p w14:paraId="7619DAE1" w14:textId="77777777" w:rsidR="00D37098" w:rsidRDefault="00000000">
      <w:pPr>
        <w:pStyle w:val="MdListItem"/>
        <w:numPr>
          <w:ilvl w:val="0"/>
          <w:numId w:val="2"/>
        </w:numPr>
      </w:pPr>
      <w:r>
        <w:rPr>
          <w:rStyle w:val="MdStrong"/>
        </w:rPr>
        <w:t>Annual:</w:t>
      </w:r>
      <w:r>
        <w:t xml:space="preserve"> Comprehensive overhaul, catalyst replacement (if needed)</w:t>
      </w:r>
    </w:p>
    <w:p w14:paraId="58EEE37F" w14:textId="77777777" w:rsidR="00D37098" w:rsidRDefault="00D37098">
      <w:pPr>
        <w:pStyle w:val="MdSpace"/>
        <w:spacing w:after="60"/>
      </w:pPr>
    </w:p>
    <w:p w14:paraId="5F9A7659" w14:textId="77777777" w:rsidR="00D37098" w:rsidRDefault="00000000">
      <w:pPr>
        <w:pStyle w:val="MdParagraph"/>
      </w:pPr>
      <w:r>
        <w:rPr>
          <w:rStyle w:val="MdStrong"/>
        </w:rPr>
        <w:t>Catalyst Lifetime:</w:t>
      </w:r>
      <w:r>
        <w:t xml:space="preserve"> </w:t>
      </w:r>
      <w:proofErr w:type="spellStart"/>
      <w:r>
        <w:t>SyngaPure</w:t>
      </w:r>
      <w:proofErr w:type="spellEnd"/>
      <w:r>
        <w:t>™ platinum catalyst lifetime depends on feedstock quality and operating conditions. Preliminary estimates suggest 6-12 months between replacements for clean feedstocks, potentially shorter for contaminated waste streams.</w:t>
      </w:r>
    </w:p>
    <w:p w14:paraId="43BB0DCC" w14:textId="77777777" w:rsidR="00D37098" w:rsidRDefault="00D37098">
      <w:pPr>
        <w:pStyle w:val="MdSpace"/>
        <w:spacing w:after="60"/>
      </w:pPr>
    </w:p>
    <w:p w14:paraId="7A0D204D" w14:textId="77777777" w:rsidR="00D37098" w:rsidRDefault="00D37098">
      <w:pPr>
        <w:pStyle w:val="MdHr"/>
        <w:pBdr>
          <w:bottom w:val="single" w:sz="6" w:space="1" w:color="auto"/>
        </w:pBdr>
      </w:pPr>
    </w:p>
    <w:p w14:paraId="649D17F7" w14:textId="77777777" w:rsidR="00D37098" w:rsidRDefault="00D37098">
      <w:pPr>
        <w:pStyle w:val="MdSpace"/>
        <w:spacing w:after="60"/>
      </w:pPr>
    </w:p>
    <w:p w14:paraId="79AD5171" w14:textId="77777777" w:rsidR="00D37098" w:rsidRDefault="00000000">
      <w:pPr>
        <w:pStyle w:val="MdHeading2"/>
      </w:pPr>
      <w:r>
        <w:t>3. Product Configurations</w:t>
      </w:r>
    </w:p>
    <w:p w14:paraId="091A5FC7" w14:textId="77777777" w:rsidR="00D37098" w:rsidRDefault="00000000">
      <w:pPr>
        <w:pStyle w:val="MdParagraph"/>
      </w:pPr>
      <w:r>
        <w:t xml:space="preserve">The X-150 platform supports multiple output configurations to match diverse customer needs. Each configuration uses the same core gasifier and </w:t>
      </w:r>
      <w:proofErr w:type="spellStart"/>
      <w:r>
        <w:t>SyngaPure</w:t>
      </w:r>
      <w:proofErr w:type="spellEnd"/>
      <w:r>
        <w:t>™ catalyst system but differs in downstream energy conversion equipment.</w:t>
      </w:r>
    </w:p>
    <w:p w14:paraId="53D9155B" w14:textId="77777777" w:rsidR="00D37098" w:rsidRDefault="00D37098">
      <w:pPr>
        <w:pStyle w:val="MdSpace"/>
        <w:spacing w:after="60"/>
      </w:pPr>
    </w:p>
    <w:p w14:paraId="4A152983" w14:textId="77777777" w:rsidR="00D37098" w:rsidRDefault="00000000">
      <w:pPr>
        <w:pStyle w:val="MdHeading3"/>
      </w:pPr>
      <w:r>
        <w:t>3.1 VOLT Configuration: Electricity Generation</w:t>
      </w:r>
    </w:p>
    <w:p w14:paraId="28E65E2F" w14:textId="77777777" w:rsidR="00D37098" w:rsidRDefault="00000000">
      <w:pPr>
        <w:pStyle w:val="MdParagraph"/>
      </w:pPr>
      <w:r>
        <w:rPr>
          <w:rStyle w:val="MdStrong"/>
        </w:rPr>
        <w:t>Application:</w:t>
      </w:r>
      <w:r>
        <w:t xml:space="preserve"> On-site power generation for facilities with high electricity demand or grid-independent operations.</w:t>
      </w:r>
    </w:p>
    <w:p w14:paraId="28B7F184" w14:textId="77777777" w:rsidR="00D37098" w:rsidRDefault="00D37098">
      <w:pPr>
        <w:pStyle w:val="MdSpace"/>
        <w:spacing w:after="60"/>
      </w:pPr>
    </w:p>
    <w:p w14:paraId="33B91086" w14:textId="77777777" w:rsidR="00D37098" w:rsidRDefault="00000000">
      <w:pPr>
        <w:pStyle w:val="MdParagraph"/>
      </w:pPr>
      <w:r>
        <w:rPr>
          <w:rStyle w:val="MdStrong"/>
        </w:rPr>
        <w:t>Technology Options:</w:t>
      </w:r>
    </w:p>
    <w:p w14:paraId="5DBBA7AA" w14:textId="77777777" w:rsidR="00D37098" w:rsidRDefault="00000000">
      <w:pPr>
        <w:pStyle w:val="MdListItem"/>
        <w:numPr>
          <w:ilvl w:val="0"/>
          <w:numId w:val="2"/>
        </w:numPr>
      </w:pPr>
      <w:r>
        <w:rPr>
          <w:rStyle w:val="MdStrong"/>
        </w:rPr>
        <w:t>Internal Combustion Engine (ICE):</w:t>
      </w:r>
      <w:r>
        <w:t xml:space="preserve"> Most common, proven technology with 25-30% electrical efficiency</w:t>
      </w:r>
    </w:p>
    <w:p w14:paraId="031C0D70" w14:textId="77777777" w:rsidR="00D37098" w:rsidRDefault="00000000">
      <w:pPr>
        <w:pStyle w:val="MdListItem"/>
        <w:numPr>
          <w:ilvl w:val="0"/>
          <w:numId w:val="2"/>
        </w:numPr>
      </w:pPr>
      <w:r>
        <w:rPr>
          <w:rStyle w:val="MdStrong"/>
        </w:rPr>
        <w:t>Gas Turbine:</w:t>
      </w:r>
      <w:r>
        <w:t xml:space="preserve"> Higher efficiency potential (30-35%) but higher capital cost</w:t>
      </w:r>
    </w:p>
    <w:p w14:paraId="663C2BA5" w14:textId="77777777" w:rsidR="00D37098" w:rsidRDefault="00000000">
      <w:pPr>
        <w:pStyle w:val="MdListItem"/>
        <w:numPr>
          <w:ilvl w:val="0"/>
          <w:numId w:val="2"/>
        </w:numPr>
      </w:pPr>
      <w:r>
        <w:rPr>
          <w:rStyle w:val="MdStrong"/>
        </w:rPr>
        <w:t>Solid Oxide Fuel Cell (SOFC):</w:t>
      </w:r>
      <w:r>
        <w:t xml:space="preserve"> Highest efficiency (45-60%) but requires ultra-clean syngas and higher capital cost</w:t>
      </w:r>
    </w:p>
    <w:p w14:paraId="2D634E5C" w14:textId="77777777" w:rsidR="00D37098" w:rsidRDefault="00D37098">
      <w:pPr>
        <w:pStyle w:val="MdSpace"/>
        <w:spacing w:after="60"/>
      </w:pPr>
    </w:p>
    <w:p w14:paraId="55C1DBBD" w14:textId="77777777" w:rsidR="00D37098" w:rsidRDefault="00000000">
      <w:pPr>
        <w:pStyle w:val="MdParagraph"/>
      </w:pPr>
      <w:r>
        <w:rPr>
          <w:rStyle w:val="MdStrong"/>
        </w:rPr>
        <w:t>Typical Output:</w:t>
      </w:r>
    </w:p>
    <w:p w14:paraId="0917C3F8" w14:textId="77777777" w:rsidR="00D37098" w:rsidRDefault="00000000">
      <w:pPr>
        <w:pStyle w:val="MdListItem"/>
        <w:numPr>
          <w:ilvl w:val="0"/>
          <w:numId w:val="2"/>
        </w:numPr>
      </w:pPr>
      <w:r>
        <w:rPr>
          <w:rStyle w:val="MdStrong"/>
        </w:rPr>
        <w:t>Electrical:</w:t>
      </w:r>
      <w:r>
        <w:t xml:space="preserve"> 150 kW (net after parasitic loads)</w:t>
      </w:r>
    </w:p>
    <w:p w14:paraId="6FC5C08E" w14:textId="77777777" w:rsidR="00D37098" w:rsidRDefault="00000000">
      <w:pPr>
        <w:pStyle w:val="MdListItem"/>
        <w:numPr>
          <w:ilvl w:val="0"/>
          <w:numId w:val="2"/>
        </w:numPr>
      </w:pPr>
      <w:r>
        <w:rPr>
          <w:rStyle w:val="MdStrong"/>
        </w:rPr>
        <w:t>Thermal:</w:t>
      </w:r>
      <w:r>
        <w:t xml:space="preserve"> 250-300 kW (recoverable from engine/turbine exhaust and cooling)</w:t>
      </w:r>
    </w:p>
    <w:p w14:paraId="10790206" w14:textId="77777777" w:rsidR="00D37098" w:rsidRDefault="00000000">
      <w:pPr>
        <w:pStyle w:val="MdListItem"/>
        <w:numPr>
          <w:ilvl w:val="0"/>
          <w:numId w:val="2"/>
        </w:numPr>
      </w:pPr>
      <w:r>
        <w:rPr>
          <w:rStyle w:val="MdStrong"/>
        </w:rPr>
        <w:t>Total Efficiency:</w:t>
      </w:r>
      <w:r>
        <w:t xml:space="preserve"> 85% in CHP mode</w:t>
      </w:r>
    </w:p>
    <w:p w14:paraId="0D4F4C2B" w14:textId="77777777" w:rsidR="00D37098" w:rsidRDefault="00D37098">
      <w:pPr>
        <w:pStyle w:val="MdSpace"/>
        <w:spacing w:after="60"/>
      </w:pPr>
    </w:p>
    <w:p w14:paraId="3629B2A3" w14:textId="77777777" w:rsidR="00D37098" w:rsidRDefault="00000000">
      <w:pPr>
        <w:pStyle w:val="MdParagraph"/>
      </w:pPr>
      <w:r>
        <w:rPr>
          <w:rStyle w:val="MdStrong"/>
        </w:rPr>
        <w:t>Ideal Customers:</w:t>
      </w:r>
    </w:p>
    <w:p w14:paraId="78B6E6B6" w14:textId="77777777" w:rsidR="00D37098" w:rsidRDefault="00000000">
      <w:pPr>
        <w:pStyle w:val="MdListItem"/>
        <w:numPr>
          <w:ilvl w:val="0"/>
          <w:numId w:val="2"/>
        </w:numPr>
      </w:pPr>
      <w:r>
        <w:t>Industrial facilities with 24/7 power demand</w:t>
      </w:r>
    </w:p>
    <w:p w14:paraId="1BBDC99B" w14:textId="77777777" w:rsidR="00D37098" w:rsidRDefault="00000000">
      <w:pPr>
        <w:pStyle w:val="MdListItem"/>
        <w:numPr>
          <w:ilvl w:val="0"/>
          <w:numId w:val="2"/>
        </w:numPr>
      </w:pPr>
      <w:r>
        <w:t>Remote locations without grid access</w:t>
      </w:r>
    </w:p>
    <w:p w14:paraId="5AEC11F4" w14:textId="77777777" w:rsidR="00D37098" w:rsidRDefault="00000000">
      <w:pPr>
        <w:pStyle w:val="MdListItem"/>
        <w:numPr>
          <w:ilvl w:val="0"/>
          <w:numId w:val="2"/>
        </w:numPr>
      </w:pPr>
      <w:r>
        <w:t>Facilities seeking energy independence and resilience</w:t>
      </w:r>
    </w:p>
    <w:p w14:paraId="2D79A4E5" w14:textId="77777777" w:rsidR="00D37098" w:rsidRDefault="00000000">
      <w:pPr>
        <w:pStyle w:val="MdListItem"/>
        <w:numPr>
          <w:ilvl w:val="0"/>
          <w:numId w:val="2"/>
        </w:numPr>
      </w:pPr>
      <w:r>
        <w:t>Organizations with waste disposal costs and high electricity costs</w:t>
      </w:r>
    </w:p>
    <w:p w14:paraId="2EB7A435" w14:textId="77777777" w:rsidR="00D37098" w:rsidRDefault="00D37098">
      <w:pPr>
        <w:pStyle w:val="MdSpace"/>
        <w:spacing w:after="60"/>
      </w:pPr>
    </w:p>
    <w:p w14:paraId="562355E0" w14:textId="77777777" w:rsidR="00D37098" w:rsidRDefault="00000000">
      <w:pPr>
        <w:pStyle w:val="MdParagraph"/>
      </w:pPr>
      <w:r>
        <w:rPr>
          <w:rStyle w:val="MdStrong"/>
        </w:rPr>
        <w:t>Economics:</w:t>
      </w:r>
      <w:r>
        <w:t xml:space="preserve"> VOLT configuration provides the fastest payback when both electricity and waste disposal costs are high. Typical electricity value: $0.10-0.20/kWh.</w:t>
      </w:r>
    </w:p>
    <w:p w14:paraId="24A25D4D" w14:textId="77777777" w:rsidR="00D37098" w:rsidRDefault="00D37098">
      <w:pPr>
        <w:pStyle w:val="MdSpace"/>
        <w:spacing w:after="60"/>
      </w:pPr>
    </w:p>
    <w:p w14:paraId="03E20E2C" w14:textId="77777777" w:rsidR="00D37098" w:rsidRDefault="00000000">
      <w:pPr>
        <w:pStyle w:val="MdHeading3"/>
      </w:pPr>
      <w:r>
        <w:t>3.2 HEAT Configuration: Thermal Energy</w:t>
      </w:r>
    </w:p>
    <w:p w14:paraId="12464E22" w14:textId="77777777" w:rsidR="00D37098" w:rsidRDefault="00000000">
      <w:pPr>
        <w:pStyle w:val="MdParagraph"/>
      </w:pPr>
      <w:r>
        <w:rPr>
          <w:rStyle w:val="MdStrong"/>
        </w:rPr>
        <w:t>Application:</w:t>
      </w:r>
      <w:r>
        <w:t xml:space="preserve"> Facilities requiring process heat, space heating, or hot water.</w:t>
      </w:r>
    </w:p>
    <w:p w14:paraId="2E301EE8" w14:textId="77777777" w:rsidR="00D37098" w:rsidRDefault="00D37098">
      <w:pPr>
        <w:pStyle w:val="MdSpace"/>
        <w:spacing w:after="60"/>
      </w:pPr>
    </w:p>
    <w:p w14:paraId="071E78BC" w14:textId="77777777" w:rsidR="00D37098" w:rsidRDefault="00000000">
      <w:pPr>
        <w:pStyle w:val="MdParagraph"/>
      </w:pPr>
      <w:r>
        <w:rPr>
          <w:rStyle w:val="MdStrong"/>
        </w:rPr>
        <w:t>Technology:</w:t>
      </w:r>
      <w:r>
        <w:t xml:space="preserve"> Direct syngas combustion in boilers or furnaces, or heat recovery from VOLT configuration exhaust.</w:t>
      </w:r>
    </w:p>
    <w:p w14:paraId="370A7E98" w14:textId="77777777" w:rsidR="00D37098" w:rsidRDefault="00D37098">
      <w:pPr>
        <w:pStyle w:val="MdSpace"/>
        <w:spacing w:after="60"/>
      </w:pPr>
    </w:p>
    <w:p w14:paraId="28A74CD6" w14:textId="77777777" w:rsidR="00D37098" w:rsidRDefault="00000000">
      <w:pPr>
        <w:pStyle w:val="MdParagraph"/>
      </w:pPr>
      <w:r>
        <w:rPr>
          <w:rStyle w:val="MdStrong"/>
        </w:rPr>
        <w:t>Typical Output:</w:t>
      </w:r>
    </w:p>
    <w:p w14:paraId="353B6963" w14:textId="77777777" w:rsidR="00D37098" w:rsidRDefault="00000000">
      <w:pPr>
        <w:pStyle w:val="MdListItem"/>
        <w:numPr>
          <w:ilvl w:val="0"/>
          <w:numId w:val="2"/>
        </w:numPr>
      </w:pPr>
      <w:r>
        <w:rPr>
          <w:rStyle w:val="MdStrong"/>
        </w:rPr>
        <w:t>Thermal:</w:t>
      </w:r>
      <w:r>
        <w:t xml:space="preserve"> Up to 450 kW (depending on configuration)</w:t>
      </w:r>
    </w:p>
    <w:p w14:paraId="4346C4EB" w14:textId="77777777" w:rsidR="00D37098" w:rsidRDefault="00000000">
      <w:pPr>
        <w:pStyle w:val="MdListItem"/>
        <w:numPr>
          <w:ilvl w:val="0"/>
          <w:numId w:val="2"/>
        </w:numPr>
      </w:pPr>
      <w:r>
        <w:rPr>
          <w:rStyle w:val="MdStrong"/>
        </w:rPr>
        <w:t>Temperature Range:</w:t>
      </w:r>
      <w:r>
        <w:t xml:space="preserve"> 80-250°C (hot water/steam)</w:t>
      </w:r>
    </w:p>
    <w:p w14:paraId="0CFD4FEE" w14:textId="77777777" w:rsidR="00D37098" w:rsidRDefault="00000000">
      <w:pPr>
        <w:pStyle w:val="MdListItem"/>
        <w:numPr>
          <w:ilvl w:val="0"/>
          <w:numId w:val="2"/>
        </w:numPr>
      </w:pPr>
      <w:r>
        <w:rPr>
          <w:rStyle w:val="MdStrong"/>
        </w:rPr>
        <w:t>Total Efficiency:</w:t>
      </w:r>
      <w:r>
        <w:t xml:space="preserve"> Up to 85% thermal conversion</w:t>
      </w:r>
    </w:p>
    <w:p w14:paraId="6CF007CB" w14:textId="77777777" w:rsidR="00D37098" w:rsidRDefault="00D37098">
      <w:pPr>
        <w:pStyle w:val="MdSpace"/>
        <w:spacing w:after="60"/>
      </w:pPr>
    </w:p>
    <w:p w14:paraId="4F67E8A3" w14:textId="77777777" w:rsidR="00D37098" w:rsidRDefault="00000000">
      <w:pPr>
        <w:pStyle w:val="MdParagraph"/>
      </w:pPr>
      <w:r>
        <w:rPr>
          <w:rStyle w:val="MdStrong"/>
        </w:rPr>
        <w:t>Ideal Customers:</w:t>
      </w:r>
    </w:p>
    <w:p w14:paraId="605492A6" w14:textId="77777777" w:rsidR="00D37098" w:rsidRDefault="00000000">
      <w:pPr>
        <w:pStyle w:val="MdListItem"/>
        <w:numPr>
          <w:ilvl w:val="0"/>
          <w:numId w:val="2"/>
        </w:numPr>
      </w:pPr>
      <w:r>
        <w:t>Food processing facilities</w:t>
      </w:r>
    </w:p>
    <w:p w14:paraId="278AD78D" w14:textId="77777777" w:rsidR="00D37098" w:rsidRDefault="00000000">
      <w:pPr>
        <w:pStyle w:val="MdListItem"/>
        <w:numPr>
          <w:ilvl w:val="0"/>
          <w:numId w:val="2"/>
        </w:numPr>
      </w:pPr>
      <w:r>
        <w:t>Greenhouses and agricultural operations</w:t>
      </w:r>
    </w:p>
    <w:p w14:paraId="147C0F9F" w14:textId="77777777" w:rsidR="00D37098" w:rsidRDefault="00000000">
      <w:pPr>
        <w:pStyle w:val="MdListItem"/>
        <w:numPr>
          <w:ilvl w:val="0"/>
          <w:numId w:val="2"/>
        </w:numPr>
      </w:pPr>
      <w:r>
        <w:t>District heating systems</w:t>
      </w:r>
    </w:p>
    <w:p w14:paraId="7670009A" w14:textId="77777777" w:rsidR="00D37098" w:rsidRDefault="00000000">
      <w:pPr>
        <w:pStyle w:val="MdListItem"/>
        <w:numPr>
          <w:ilvl w:val="0"/>
          <w:numId w:val="2"/>
        </w:numPr>
      </w:pPr>
      <w:r>
        <w:t>Industrial processes requiring steam or hot water</w:t>
      </w:r>
    </w:p>
    <w:p w14:paraId="41D41CD7" w14:textId="77777777" w:rsidR="00D37098" w:rsidRDefault="00000000">
      <w:pPr>
        <w:pStyle w:val="MdListItem"/>
        <w:numPr>
          <w:ilvl w:val="0"/>
          <w:numId w:val="2"/>
        </w:numPr>
      </w:pPr>
      <w:r>
        <w:t>Hospitality (hotels, resorts) with heating and hot water demand</w:t>
      </w:r>
    </w:p>
    <w:p w14:paraId="0163388E" w14:textId="77777777" w:rsidR="00D37098" w:rsidRDefault="00D37098">
      <w:pPr>
        <w:pStyle w:val="MdSpace"/>
        <w:spacing w:after="60"/>
      </w:pPr>
    </w:p>
    <w:p w14:paraId="567D47E5" w14:textId="77777777" w:rsidR="00D37098" w:rsidRDefault="00000000">
      <w:pPr>
        <w:pStyle w:val="MdParagraph"/>
      </w:pPr>
      <w:r>
        <w:rPr>
          <w:rStyle w:val="MdStrong"/>
        </w:rPr>
        <w:t>Economics:</w:t>
      </w:r>
      <w:r>
        <w:t xml:space="preserve"> HEAT configuration is attractive when natural gas or heating oil costs are high. Typical thermal energy value: $0.03-0.08/kWh thermal equivalent.</w:t>
      </w:r>
    </w:p>
    <w:p w14:paraId="1F3C11C2" w14:textId="77777777" w:rsidR="00D37098" w:rsidRDefault="00D37098">
      <w:pPr>
        <w:pStyle w:val="MdSpace"/>
        <w:spacing w:after="60"/>
      </w:pPr>
    </w:p>
    <w:p w14:paraId="5E81FE31" w14:textId="77777777" w:rsidR="00D37098" w:rsidRDefault="00000000">
      <w:pPr>
        <w:pStyle w:val="MdHeading3"/>
      </w:pPr>
      <w:r>
        <w:t>3.3 CHILL Configuration: Cooling</w:t>
      </w:r>
    </w:p>
    <w:p w14:paraId="3C0178EA" w14:textId="77777777" w:rsidR="00D37098" w:rsidRDefault="00000000">
      <w:pPr>
        <w:pStyle w:val="MdParagraph"/>
      </w:pPr>
      <w:r>
        <w:rPr>
          <w:rStyle w:val="MdStrong"/>
        </w:rPr>
        <w:t>Application:</w:t>
      </w:r>
      <w:r>
        <w:t xml:space="preserve"> Facilities requiring refrigeration or air conditioning, particularly in hot climates.</w:t>
      </w:r>
    </w:p>
    <w:p w14:paraId="1F887E0E" w14:textId="77777777" w:rsidR="00D37098" w:rsidRDefault="00D37098">
      <w:pPr>
        <w:pStyle w:val="MdSpace"/>
        <w:spacing w:after="60"/>
      </w:pPr>
    </w:p>
    <w:p w14:paraId="525898C8" w14:textId="77777777" w:rsidR="00D37098" w:rsidRDefault="00000000">
      <w:pPr>
        <w:pStyle w:val="MdParagraph"/>
      </w:pPr>
      <w:r>
        <w:rPr>
          <w:rStyle w:val="MdStrong"/>
        </w:rPr>
        <w:t>Technology:</w:t>
      </w:r>
      <w:r>
        <w:t xml:space="preserve"> Absorption chiller powered by thermal energy from syngas combustion or VOLT exhaust heat.</w:t>
      </w:r>
    </w:p>
    <w:p w14:paraId="2BEA0540" w14:textId="77777777" w:rsidR="00D37098" w:rsidRDefault="00D37098">
      <w:pPr>
        <w:pStyle w:val="MdSpace"/>
        <w:spacing w:after="60"/>
      </w:pPr>
    </w:p>
    <w:p w14:paraId="4BD844DC" w14:textId="77777777" w:rsidR="00D37098" w:rsidRDefault="00000000">
      <w:pPr>
        <w:pStyle w:val="MdParagraph"/>
      </w:pPr>
      <w:r>
        <w:rPr>
          <w:rStyle w:val="MdStrong"/>
        </w:rPr>
        <w:t>Typical Output:</w:t>
      </w:r>
    </w:p>
    <w:p w14:paraId="42D6993E" w14:textId="77777777" w:rsidR="00D37098" w:rsidRDefault="00000000">
      <w:pPr>
        <w:pStyle w:val="MdListItem"/>
        <w:numPr>
          <w:ilvl w:val="0"/>
          <w:numId w:val="2"/>
        </w:numPr>
      </w:pPr>
      <w:r>
        <w:rPr>
          <w:rStyle w:val="MdStrong"/>
        </w:rPr>
        <w:t>Cooling:</w:t>
      </w:r>
      <w:r>
        <w:t xml:space="preserve"> Up to 300 kW (depending on chiller efficiency)</w:t>
      </w:r>
    </w:p>
    <w:p w14:paraId="3DC1B9E3" w14:textId="77777777" w:rsidR="00D37098" w:rsidRDefault="00000000">
      <w:pPr>
        <w:pStyle w:val="MdListItem"/>
        <w:numPr>
          <w:ilvl w:val="0"/>
          <w:numId w:val="2"/>
        </w:numPr>
      </w:pPr>
      <w:r>
        <w:rPr>
          <w:rStyle w:val="MdStrong"/>
        </w:rPr>
        <w:t>Coefficient of Performance (COP):</w:t>
      </w:r>
      <w:r>
        <w:t xml:space="preserve"> 0.6-0.8 for absorption chillers</w:t>
      </w:r>
    </w:p>
    <w:p w14:paraId="4C05158D" w14:textId="77777777" w:rsidR="00D37098" w:rsidRDefault="00000000">
      <w:pPr>
        <w:pStyle w:val="MdListItem"/>
        <w:numPr>
          <w:ilvl w:val="0"/>
          <w:numId w:val="2"/>
        </w:numPr>
      </w:pPr>
      <w:r>
        <w:rPr>
          <w:rStyle w:val="MdStrong"/>
        </w:rPr>
        <w:t>Total System Efficiency:</w:t>
      </w:r>
      <w:r>
        <w:t xml:space="preserve"> 50-65% (waste-to-cooling)</w:t>
      </w:r>
    </w:p>
    <w:p w14:paraId="7A18A520" w14:textId="77777777" w:rsidR="00D37098" w:rsidRDefault="00D37098">
      <w:pPr>
        <w:pStyle w:val="MdSpace"/>
        <w:spacing w:after="60"/>
      </w:pPr>
    </w:p>
    <w:p w14:paraId="1E83B3D7" w14:textId="77777777" w:rsidR="00D37098" w:rsidRDefault="00000000">
      <w:pPr>
        <w:pStyle w:val="MdParagraph"/>
      </w:pPr>
      <w:r>
        <w:rPr>
          <w:rStyle w:val="MdStrong"/>
        </w:rPr>
        <w:t>Ideal Customers:</w:t>
      </w:r>
    </w:p>
    <w:p w14:paraId="3D96F248" w14:textId="77777777" w:rsidR="00D37098" w:rsidRDefault="00000000">
      <w:pPr>
        <w:pStyle w:val="MdListItem"/>
        <w:numPr>
          <w:ilvl w:val="0"/>
          <w:numId w:val="2"/>
        </w:numPr>
      </w:pPr>
      <w:r>
        <w:t>Food processing and cold storage facilities</w:t>
      </w:r>
    </w:p>
    <w:p w14:paraId="62D99051" w14:textId="77777777" w:rsidR="00D37098" w:rsidRDefault="00000000">
      <w:pPr>
        <w:pStyle w:val="MdListItem"/>
        <w:numPr>
          <w:ilvl w:val="0"/>
          <w:numId w:val="2"/>
        </w:numPr>
      </w:pPr>
      <w:r>
        <w:t>Hospitality (hotels, resorts) in hot climates</w:t>
      </w:r>
    </w:p>
    <w:p w14:paraId="4F825D4D" w14:textId="77777777" w:rsidR="00D37098" w:rsidRDefault="00000000">
      <w:pPr>
        <w:pStyle w:val="MdListItem"/>
        <w:numPr>
          <w:ilvl w:val="0"/>
          <w:numId w:val="2"/>
        </w:numPr>
      </w:pPr>
      <w:r>
        <w:t xml:space="preserve">Data </w:t>
      </w:r>
      <w:proofErr w:type="spellStart"/>
      <w:r>
        <w:t>centers</w:t>
      </w:r>
      <w:proofErr w:type="spellEnd"/>
      <w:r>
        <w:t xml:space="preserve"> requiring cooling</w:t>
      </w:r>
    </w:p>
    <w:p w14:paraId="57421FB3" w14:textId="77777777" w:rsidR="00D37098" w:rsidRDefault="00000000">
      <w:pPr>
        <w:pStyle w:val="MdListItem"/>
        <w:numPr>
          <w:ilvl w:val="0"/>
          <w:numId w:val="2"/>
        </w:numPr>
      </w:pPr>
      <w:r>
        <w:lastRenderedPageBreak/>
        <w:t>Industrial processes with cooling requirements</w:t>
      </w:r>
    </w:p>
    <w:p w14:paraId="1EC6EFDE" w14:textId="77777777" w:rsidR="00D37098" w:rsidRDefault="00000000">
      <w:pPr>
        <w:pStyle w:val="MdListItem"/>
        <w:numPr>
          <w:ilvl w:val="0"/>
          <w:numId w:val="2"/>
        </w:numPr>
      </w:pPr>
      <w:r>
        <w:t>Agricultural applications (greenhouse cooling, crop storage)</w:t>
      </w:r>
    </w:p>
    <w:p w14:paraId="50ECE952" w14:textId="77777777" w:rsidR="00D37098" w:rsidRDefault="00D37098">
      <w:pPr>
        <w:pStyle w:val="MdSpace"/>
        <w:spacing w:after="60"/>
      </w:pPr>
    </w:p>
    <w:p w14:paraId="2BBFC82E" w14:textId="77777777" w:rsidR="00D37098" w:rsidRDefault="00000000">
      <w:pPr>
        <w:pStyle w:val="MdParagraph"/>
      </w:pPr>
      <w:r>
        <w:rPr>
          <w:rStyle w:val="MdStrong"/>
        </w:rPr>
        <w:t>Economics:</w:t>
      </w:r>
      <w:r>
        <w:t xml:space="preserve"> CHILL configuration is most attractive in hot climates with high air conditioning costs and year-round cooling demand. Typical cooling value: $0.08-0.15/kWh cooling equivalent.</w:t>
      </w:r>
    </w:p>
    <w:p w14:paraId="776F5AEF" w14:textId="77777777" w:rsidR="00D37098" w:rsidRDefault="00D37098">
      <w:pPr>
        <w:pStyle w:val="MdSpace"/>
        <w:spacing w:after="60"/>
      </w:pPr>
    </w:p>
    <w:p w14:paraId="060074F2" w14:textId="77777777" w:rsidR="00D37098" w:rsidRDefault="00000000">
      <w:pPr>
        <w:pStyle w:val="MdHeading3"/>
      </w:pPr>
      <w:r>
        <w:t>3.4 Hydrogen (H₂) Configuration</w:t>
      </w:r>
    </w:p>
    <w:p w14:paraId="5A930D9A" w14:textId="77777777" w:rsidR="00D37098" w:rsidRDefault="00000000">
      <w:pPr>
        <w:pStyle w:val="MdParagraph"/>
      </w:pPr>
      <w:r>
        <w:rPr>
          <w:rStyle w:val="MdStrong"/>
        </w:rPr>
        <w:t>Application:</w:t>
      </w:r>
      <w:r>
        <w:t xml:space="preserve"> Production of clean hydrogen for fuel cells, chemical processes, or hydrogen </w:t>
      </w:r>
      <w:proofErr w:type="spellStart"/>
      <w:r>
        <w:t>refueling</w:t>
      </w:r>
      <w:proofErr w:type="spellEnd"/>
      <w:r>
        <w:t xml:space="preserve"> stations.</w:t>
      </w:r>
    </w:p>
    <w:p w14:paraId="567DB4CB" w14:textId="77777777" w:rsidR="00D37098" w:rsidRDefault="00D37098">
      <w:pPr>
        <w:pStyle w:val="MdSpace"/>
        <w:spacing w:after="60"/>
      </w:pPr>
    </w:p>
    <w:p w14:paraId="2F8DC682" w14:textId="77777777" w:rsidR="00D37098" w:rsidRDefault="00000000">
      <w:pPr>
        <w:pStyle w:val="MdParagraph"/>
      </w:pPr>
      <w:r>
        <w:rPr>
          <w:rStyle w:val="MdStrong"/>
        </w:rPr>
        <w:t>Technology:</w:t>
      </w:r>
      <w:r>
        <w:t xml:space="preserve"> Syngas undergoes water-gas shift reaction (CO + H₂O → H₂ + CO₂) followed by pressure swing adsorption (PSA) or membrane separation to produce high-purity hydrogen.</w:t>
      </w:r>
    </w:p>
    <w:p w14:paraId="6D053F3E" w14:textId="77777777" w:rsidR="00D37098" w:rsidRDefault="00D37098">
      <w:pPr>
        <w:pStyle w:val="MdSpace"/>
        <w:spacing w:after="60"/>
      </w:pPr>
    </w:p>
    <w:p w14:paraId="7D581B71" w14:textId="77777777" w:rsidR="00D37098" w:rsidRDefault="00000000">
      <w:pPr>
        <w:pStyle w:val="MdParagraph"/>
      </w:pPr>
      <w:r>
        <w:rPr>
          <w:rStyle w:val="MdStrong"/>
        </w:rPr>
        <w:t>Typical Output:</w:t>
      </w:r>
    </w:p>
    <w:p w14:paraId="3821A9E0" w14:textId="77777777" w:rsidR="00D37098" w:rsidRDefault="00000000">
      <w:pPr>
        <w:pStyle w:val="MdListItem"/>
        <w:numPr>
          <w:ilvl w:val="0"/>
          <w:numId w:val="2"/>
        </w:numPr>
      </w:pPr>
      <w:r>
        <w:rPr>
          <w:rStyle w:val="MdStrong"/>
        </w:rPr>
        <w:t>Hydrogen Production:</w:t>
      </w:r>
      <w:r>
        <w:t xml:space="preserve"> 15-25 kg/day (depending on feedstock and process efficiency)</w:t>
      </w:r>
    </w:p>
    <w:p w14:paraId="7E7EB888" w14:textId="77777777" w:rsidR="00D37098" w:rsidRDefault="00000000">
      <w:pPr>
        <w:pStyle w:val="MdListItem"/>
        <w:numPr>
          <w:ilvl w:val="0"/>
          <w:numId w:val="2"/>
        </w:numPr>
      </w:pPr>
      <w:r>
        <w:rPr>
          <w:rStyle w:val="MdStrong"/>
        </w:rPr>
        <w:t>Hydrogen Purity:</w:t>
      </w:r>
      <w:r>
        <w:t xml:space="preserve"> 99.95%+ (fuel cell grade)</w:t>
      </w:r>
    </w:p>
    <w:p w14:paraId="5E7A4885" w14:textId="77777777" w:rsidR="00D37098" w:rsidRDefault="00000000">
      <w:pPr>
        <w:pStyle w:val="MdListItem"/>
        <w:numPr>
          <w:ilvl w:val="0"/>
          <w:numId w:val="2"/>
        </w:numPr>
      </w:pPr>
      <w:r>
        <w:rPr>
          <w:rStyle w:val="MdStrong"/>
        </w:rPr>
        <w:t>By-product CO₂:</w:t>
      </w:r>
      <w:r>
        <w:t xml:space="preserve"> Can be captured for sequestration or utilization</w:t>
      </w:r>
    </w:p>
    <w:p w14:paraId="143CEDC3" w14:textId="77777777" w:rsidR="00D37098" w:rsidRDefault="00D37098">
      <w:pPr>
        <w:pStyle w:val="MdSpace"/>
        <w:spacing w:after="60"/>
      </w:pPr>
    </w:p>
    <w:p w14:paraId="007A0459" w14:textId="77777777" w:rsidR="00D37098" w:rsidRDefault="00000000">
      <w:pPr>
        <w:pStyle w:val="MdParagraph"/>
      </w:pPr>
      <w:r>
        <w:rPr>
          <w:rStyle w:val="MdStrong"/>
        </w:rPr>
        <w:t>Ideal Customers:</w:t>
      </w:r>
    </w:p>
    <w:p w14:paraId="640567C7" w14:textId="77777777" w:rsidR="00D37098" w:rsidRDefault="00000000">
      <w:pPr>
        <w:pStyle w:val="MdListItem"/>
        <w:numPr>
          <w:ilvl w:val="0"/>
          <w:numId w:val="2"/>
        </w:numPr>
      </w:pPr>
      <w:r>
        <w:t xml:space="preserve">Hydrogen </w:t>
      </w:r>
      <w:proofErr w:type="spellStart"/>
      <w:r>
        <w:t>refueling</w:t>
      </w:r>
      <w:proofErr w:type="spellEnd"/>
      <w:r>
        <w:t xml:space="preserve"> stations</w:t>
      </w:r>
    </w:p>
    <w:p w14:paraId="3E6B25E5" w14:textId="77777777" w:rsidR="00D37098" w:rsidRDefault="00000000">
      <w:pPr>
        <w:pStyle w:val="MdListItem"/>
        <w:numPr>
          <w:ilvl w:val="0"/>
          <w:numId w:val="2"/>
        </w:numPr>
      </w:pPr>
      <w:r>
        <w:t>Industrial hydrogen users (chemical plants, refineries)</w:t>
      </w:r>
    </w:p>
    <w:p w14:paraId="2F999703" w14:textId="77777777" w:rsidR="00D37098" w:rsidRDefault="00000000">
      <w:pPr>
        <w:pStyle w:val="MdListItem"/>
        <w:numPr>
          <w:ilvl w:val="0"/>
          <w:numId w:val="2"/>
        </w:numPr>
      </w:pPr>
      <w:r>
        <w:t>Fuel cell vehicle fleets</w:t>
      </w:r>
    </w:p>
    <w:p w14:paraId="3243193E" w14:textId="77777777" w:rsidR="00D37098" w:rsidRDefault="00000000">
      <w:pPr>
        <w:pStyle w:val="MdListItem"/>
        <w:numPr>
          <w:ilvl w:val="0"/>
          <w:numId w:val="2"/>
        </w:numPr>
      </w:pPr>
      <w:r>
        <w:t>Organizations pursuing carbon-negative hydrogen production</w:t>
      </w:r>
    </w:p>
    <w:p w14:paraId="532C407B" w14:textId="77777777" w:rsidR="00D37098" w:rsidRDefault="00D37098">
      <w:pPr>
        <w:pStyle w:val="MdSpace"/>
        <w:spacing w:after="60"/>
      </w:pPr>
    </w:p>
    <w:p w14:paraId="63B28A2B" w14:textId="77777777" w:rsidR="00D37098" w:rsidRDefault="00000000">
      <w:pPr>
        <w:pStyle w:val="MdParagraph"/>
      </w:pPr>
      <w:r>
        <w:rPr>
          <w:rStyle w:val="MdStrong"/>
        </w:rPr>
        <w:t>Economics:</w:t>
      </w:r>
      <w:r>
        <w:t xml:space="preserve"> Hydrogen configuration has the highest value potential but also highest capital cost. Typical hydrogen value: $5-15/kg depending on market and purity requirements. The ability to produce "waste-derived hydrogen" with carbon credits provides additional revenue potential.</w:t>
      </w:r>
    </w:p>
    <w:p w14:paraId="536B8B81" w14:textId="77777777" w:rsidR="00D37098" w:rsidRDefault="00D37098">
      <w:pPr>
        <w:pStyle w:val="MdSpace"/>
        <w:spacing w:after="60"/>
      </w:pPr>
    </w:p>
    <w:p w14:paraId="5FD3C5AE" w14:textId="77777777" w:rsidR="00D37098" w:rsidRDefault="00000000">
      <w:pPr>
        <w:pStyle w:val="MdHeading3"/>
      </w:pPr>
      <w:r>
        <w:t>3.5 Sustainable Aviation Fuel (SAF) Configuration</w:t>
      </w:r>
    </w:p>
    <w:p w14:paraId="5A537AAD" w14:textId="77777777" w:rsidR="00D37098" w:rsidRDefault="00000000">
      <w:pPr>
        <w:pStyle w:val="MdParagraph"/>
      </w:pPr>
      <w:r>
        <w:rPr>
          <w:rStyle w:val="MdStrong"/>
        </w:rPr>
        <w:t>Application:</w:t>
      </w:r>
      <w:r>
        <w:t xml:space="preserve"> Conversion of waste into drop-in jet fuel via Fischer-Tropsch synthesis or alcohol-to-jet pathways.</w:t>
      </w:r>
    </w:p>
    <w:p w14:paraId="4F963037" w14:textId="77777777" w:rsidR="00D37098" w:rsidRDefault="00D37098">
      <w:pPr>
        <w:pStyle w:val="MdSpace"/>
        <w:spacing w:after="60"/>
      </w:pPr>
    </w:p>
    <w:p w14:paraId="4FC48100" w14:textId="77777777" w:rsidR="00D37098" w:rsidRDefault="00000000">
      <w:pPr>
        <w:pStyle w:val="MdParagraph"/>
      </w:pPr>
      <w:r>
        <w:rPr>
          <w:rStyle w:val="MdStrong"/>
        </w:rPr>
        <w:t>Technology:</w:t>
      </w:r>
      <w:r>
        <w:t xml:space="preserve"> Clean syngas from X-150 + </w:t>
      </w:r>
      <w:proofErr w:type="spellStart"/>
      <w:r>
        <w:t>SyngaPure</w:t>
      </w:r>
      <w:proofErr w:type="spellEnd"/>
      <w:r>
        <w:t>™ feeds into Fischer-Tropsch reactor to produce synthetic hydrocarbons, which are then refined into SAF meeting ASTM D7566 specifications.</w:t>
      </w:r>
    </w:p>
    <w:p w14:paraId="4095C0BB" w14:textId="77777777" w:rsidR="00D37098" w:rsidRDefault="00D37098">
      <w:pPr>
        <w:pStyle w:val="MdSpace"/>
        <w:spacing w:after="60"/>
      </w:pPr>
    </w:p>
    <w:p w14:paraId="4C0F96B5" w14:textId="77777777" w:rsidR="00D37098" w:rsidRDefault="00000000">
      <w:pPr>
        <w:pStyle w:val="MdParagraph"/>
      </w:pPr>
      <w:r>
        <w:rPr>
          <w:rStyle w:val="MdStrong"/>
        </w:rPr>
        <w:t>Typical Output:</w:t>
      </w:r>
    </w:p>
    <w:p w14:paraId="0D157041" w14:textId="77777777" w:rsidR="00D37098" w:rsidRDefault="00000000">
      <w:pPr>
        <w:pStyle w:val="MdListItem"/>
        <w:numPr>
          <w:ilvl w:val="0"/>
          <w:numId w:val="2"/>
        </w:numPr>
      </w:pPr>
      <w:r>
        <w:rPr>
          <w:rStyle w:val="MdStrong"/>
        </w:rPr>
        <w:t>SAF Production:</w:t>
      </w:r>
      <w:r>
        <w:t xml:space="preserve"> 10-20 </w:t>
      </w:r>
      <w:proofErr w:type="spellStart"/>
      <w:r>
        <w:t>liters</w:t>
      </w:r>
      <w:proofErr w:type="spellEnd"/>
      <w:r>
        <w:t>/day per X-150 unit (depending on process efficiency)</w:t>
      </w:r>
    </w:p>
    <w:p w14:paraId="0A802091" w14:textId="77777777" w:rsidR="00D37098" w:rsidRDefault="00000000">
      <w:pPr>
        <w:pStyle w:val="MdListItem"/>
        <w:numPr>
          <w:ilvl w:val="0"/>
          <w:numId w:val="2"/>
        </w:numPr>
      </w:pPr>
      <w:r>
        <w:rPr>
          <w:rStyle w:val="MdStrong"/>
        </w:rPr>
        <w:lastRenderedPageBreak/>
        <w:t>Fuel Quality:</w:t>
      </w:r>
      <w:r>
        <w:t xml:space="preserve"> Meets ASTM D7566 for blending with conventional jet fuel</w:t>
      </w:r>
    </w:p>
    <w:p w14:paraId="706E21EE" w14:textId="77777777" w:rsidR="00D37098" w:rsidRDefault="00000000">
      <w:pPr>
        <w:pStyle w:val="MdListItem"/>
        <w:numPr>
          <w:ilvl w:val="0"/>
          <w:numId w:val="2"/>
        </w:numPr>
      </w:pPr>
      <w:r>
        <w:rPr>
          <w:rStyle w:val="MdStrong"/>
        </w:rPr>
        <w:t>Carbon Intensity:</w:t>
      </w:r>
      <w:r>
        <w:t xml:space="preserve"> Potentially carbon-negative with waste feedstock and carbon capture</w:t>
      </w:r>
    </w:p>
    <w:p w14:paraId="4C189DB3" w14:textId="77777777" w:rsidR="00D37098" w:rsidRDefault="00D37098">
      <w:pPr>
        <w:pStyle w:val="MdSpace"/>
        <w:spacing w:after="60"/>
      </w:pPr>
    </w:p>
    <w:p w14:paraId="6766A7C7" w14:textId="77777777" w:rsidR="00D37098" w:rsidRDefault="00000000">
      <w:pPr>
        <w:pStyle w:val="MdParagraph"/>
      </w:pPr>
      <w:r>
        <w:rPr>
          <w:rStyle w:val="MdStrong"/>
        </w:rPr>
        <w:t>Ideal Customers:</w:t>
      </w:r>
    </w:p>
    <w:p w14:paraId="683F6FA2" w14:textId="77777777" w:rsidR="00D37098" w:rsidRDefault="00000000">
      <w:pPr>
        <w:pStyle w:val="MdListItem"/>
        <w:numPr>
          <w:ilvl w:val="0"/>
          <w:numId w:val="2"/>
        </w:numPr>
      </w:pPr>
      <w:r>
        <w:t>Airports seeking to reduce Scope 3 emissions</w:t>
      </w:r>
    </w:p>
    <w:p w14:paraId="64AA7ABB" w14:textId="77777777" w:rsidR="00D37098" w:rsidRDefault="00000000">
      <w:pPr>
        <w:pStyle w:val="MdListItem"/>
        <w:numPr>
          <w:ilvl w:val="0"/>
          <w:numId w:val="2"/>
        </w:numPr>
      </w:pPr>
      <w:r>
        <w:t>Airlines committed to SAF mandates</w:t>
      </w:r>
    </w:p>
    <w:p w14:paraId="7B3352D0" w14:textId="77777777" w:rsidR="00D37098" w:rsidRDefault="00000000">
      <w:pPr>
        <w:pStyle w:val="MdListItem"/>
        <w:numPr>
          <w:ilvl w:val="0"/>
          <w:numId w:val="2"/>
        </w:numPr>
      </w:pPr>
      <w:r>
        <w:t>Waste management companies seeking high-value products</w:t>
      </w:r>
    </w:p>
    <w:p w14:paraId="7AFCF191" w14:textId="77777777" w:rsidR="00D37098" w:rsidRDefault="00000000">
      <w:pPr>
        <w:pStyle w:val="MdListItem"/>
        <w:numPr>
          <w:ilvl w:val="0"/>
          <w:numId w:val="2"/>
        </w:numPr>
      </w:pPr>
      <w:r>
        <w:t>Governments supporting SAF production incentives</w:t>
      </w:r>
    </w:p>
    <w:p w14:paraId="54CC3931" w14:textId="77777777" w:rsidR="00D37098" w:rsidRDefault="00D37098">
      <w:pPr>
        <w:pStyle w:val="MdSpace"/>
        <w:spacing w:after="60"/>
      </w:pPr>
    </w:p>
    <w:p w14:paraId="39BAEDD5" w14:textId="77777777" w:rsidR="00D37098" w:rsidRDefault="00000000">
      <w:pPr>
        <w:pStyle w:val="MdParagraph"/>
      </w:pPr>
      <w:r>
        <w:rPr>
          <w:rStyle w:val="MdStrong"/>
        </w:rPr>
        <w:t>Economics:</w:t>
      </w:r>
      <w:r>
        <w:t xml:space="preserve"> SAF configuration requires significant additional capital for Fischer-Tropsch synthesis but benefits from premium SAF pricing ($3-6/</w:t>
      </w:r>
      <w:proofErr w:type="spellStart"/>
      <w:r>
        <w:t>liter</w:t>
      </w:r>
      <w:proofErr w:type="spellEnd"/>
      <w:r>
        <w:t>) and carbon credits. Multiple X-150 units would typically be required for commercial-scale SAF production.</w:t>
      </w:r>
    </w:p>
    <w:p w14:paraId="5342E6D5" w14:textId="77777777" w:rsidR="00D37098" w:rsidRDefault="00D37098">
      <w:pPr>
        <w:pStyle w:val="MdSpace"/>
        <w:spacing w:after="60"/>
      </w:pPr>
    </w:p>
    <w:p w14:paraId="489E6D25" w14:textId="2D4059AA" w:rsidR="00D37098" w:rsidRDefault="00000000">
      <w:pPr>
        <w:pStyle w:val="MdParagraph"/>
      </w:pPr>
      <w:r>
        <w:rPr>
          <w:rStyle w:val="MdStrong"/>
        </w:rPr>
        <w:t>Current Status:</w:t>
      </w:r>
      <w:r>
        <w:t xml:space="preserve"> </w:t>
      </w:r>
      <w:r w:rsidR="00C25393">
        <w:t>A</w:t>
      </w:r>
      <w:r>
        <w:t>ctive client interest in SAF production from landfill waste. This represents a high-value, high-impact application that aligns with global aviation decarbonization goals.</w:t>
      </w:r>
    </w:p>
    <w:p w14:paraId="00CDF046" w14:textId="77777777" w:rsidR="00D37098" w:rsidRDefault="00D37098">
      <w:pPr>
        <w:pStyle w:val="MdSpace"/>
        <w:spacing w:after="60"/>
      </w:pPr>
    </w:p>
    <w:p w14:paraId="77875A02" w14:textId="77777777" w:rsidR="00D37098" w:rsidRDefault="00000000">
      <w:pPr>
        <w:pStyle w:val="MdHeading3"/>
      </w:pPr>
      <w:r>
        <w:t>3.6 Renewable Natural Gas (RNG) / Methane Configuration</w:t>
      </w:r>
    </w:p>
    <w:p w14:paraId="1E9501DB" w14:textId="77777777" w:rsidR="00D37098" w:rsidRDefault="00000000">
      <w:pPr>
        <w:pStyle w:val="MdParagraph"/>
      </w:pPr>
      <w:r>
        <w:rPr>
          <w:rStyle w:val="MdStrong"/>
        </w:rPr>
        <w:t>Application:</w:t>
      </w:r>
      <w:r>
        <w:t xml:space="preserve"> Production of pipeline-quality renewable natural gas for injection into gas grids or vehicle fuel.</w:t>
      </w:r>
    </w:p>
    <w:p w14:paraId="5574E8A1" w14:textId="77777777" w:rsidR="00D37098" w:rsidRDefault="00D37098">
      <w:pPr>
        <w:pStyle w:val="MdSpace"/>
        <w:spacing w:after="60"/>
      </w:pPr>
    </w:p>
    <w:p w14:paraId="010D3991" w14:textId="77777777" w:rsidR="00D37098" w:rsidRDefault="00000000">
      <w:pPr>
        <w:pStyle w:val="MdParagraph"/>
      </w:pPr>
      <w:r>
        <w:rPr>
          <w:rStyle w:val="MdStrong"/>
        </w:rPr>
        <w:t>Technology:</w:t>
      </w:r>
      <w:r>
        <w:t xml:space="preserve"> Syngas undergoes methanation reaction (CO + 3H₂ → CH₄ + H₂O) to produce methane, followed by cleanup to meet pipeline specifications.</w:t>
      </w:r>
    </w:p>
    <w:p w14:paraId="73661151" w14:textId="77777777" w:rsidR="00D37098" w:rsidRDefault="00D37098">
      <w:pPr>
        <w:pStyle w:val="MdSpace"/>
        <w:spacing w:after="60"/>
      </w:pPr>
    </w:p>
    <w:p w14:paraId="2DB33F9F" w14:textId="77777777" w:rsidR="00D37098" w:rsidRDefault="00000000">
      <w:pPr>
        <w:pStyle w:val="MdParagraph"/>
      </w:pPr>
      <w:r>
        <w:rPr>
          <w:rStyle w:val="MdStrong"/>
        </w:rPr>
        <w:t>Typical Output:</w:t>
      </w:r>
    </w:p>
    <w:p w14:paraId="509C8B0E" w14:textId="77777777" w:rsidR="00D37098" w:rsidRDefault="00000000">
      <w:pPr>
        <w:pStyle w:val="MdListItem"/>
        <w:numPr>
          <w:ilvl w:val="0"/>
          <w:numId w:val="2"/>
        </w:numPr>
      </w:pPr>
      <w:r>
        <w:rPr>
          <w:rStyle w:val="MdStrong"/>
        </w:rPr>
        <w:t>RNG Production:</w:t>
      </w:r>
      <w:r>
        <w:t xml:space="preserve"> 80-120 Nm³/day (depending on syngas composition and methanation efficiency)</w:t>
      </w:r>
    </w:p>
    <w:p w14:paraId="208F7F31" w14:textId="77777777" w:rsidR="00D37098" w:rsidRDefault="00000000">
      <w:pPr>
        <w:pStyle w:val="MdListItem"/>
        <w:numPr>
          <w:ilvl w:val="0"/>
          <w:numId w:val="2"/>
        </w:numPr>
      </w:pPr>
      <w:r>
        <w:rPr>
          <w:rStyle w:val="MdStrong"/>
        </w:rPr>
        <w:t>Methane Purity:</w:t>
      </w:r>
      <w:r>
        <w:t xml:space="preserve"> 95%+ (pipeline quality)</w:t>
      </w:r>
    </w:p>
    <w:p w14:paraId="3C0F2BE1" w14:textId="77777777" w:rsidR="00D37098" w:rsidRDefault="00000000">
      <w:pPr>
        <w:pStyle w:val="MdListItem"/>
        <w:numPr>
          <w:ilvl w:val="0"/>
          <w:numId w:val="2"/>
        </w:numPr>
      </w:pPr>
      <w:r>
        <w:rPr>
          <w:rStyle w:val="MdStrong"/>
        </w:rPr>
        <w:t>Energy Content:</w:t>
      </w:r>
      <w:r>
        <w:t xml:space="preserve"> Equivalent to natural gas (35-40 MJ/Nm³)</w:t>
      </w:r>
    </w:p>
    <w:p w14:paraId="2D132F9B" w14:textId="77777777" w:rsidR="00D37098" w:rsidRDefault="00D37098">
      <w:pPr>
        <w:pStyle w:val="MdSpace"/>
        <w:spacing w:after="60"/>
      </w:pPr>
    </w:p>
    <w:p w14:paraId="5416111E" w14:textId="77777777" w:rsidR="00D37098" w:rsidRDefault="00000000">
      <w:pPr>
        <w:pStyle w:val="MdParagraph"/>
      </w:pPr>
      <w:r>
        <w:rPr>
          <w:rStyle w:val="MdStrong"/>
        </w:rPr>
        <w:t>Ideal Customers:</w:t>
      </w:r>
    </w:p>
    <w:p w14:paraId="6D9B947F" w14:textId="77777777" w:rsidR="00D37098" w:rsidRDefault="00000000">
      <w:pPr>
        <w:pStyle w:val="MdListItem"/>
        <w:numPr>
          <w:ilvl w:val="0"/>
          <w:numId w:val="2"/>
        </w:numPr>
      </w:pPr>
      <w:r>
        <w:t>Natural gas utilities seeking renewable gas sources</w:t>
      </w:r>
    </w:p>
    <w:p w14:paraId="049CBBDC" w14:textId="77777777" w:rsidR="00D37098" w:rsidRDefault="00000000">
      <w:pPr>
        <w:pStyle w:val="MdListItem"/>
        <w:numPr>
          <w:ilvl w:val="0"/>
          <w:numId w:val="2"/>
        </w:numPr>
      </w:pPr>
      <w:r>
        <w:t>Waste management companies with gas grid access</w:t>
      </w:r>
    </w:p>
    <w:p w14:paraId="0BDF93CF" w14:textId="77777777" w:rsidR="00D37098" w:rsidRDefault="00000000">
      <w:pPr>
        <w:pStyle w:val="MdListItem"/>
        <w:numPr>
          <w:ilvl w:val="0"/>
          <w:numId w:val="2"/>
        </w:numPr>
      </w:pPr>
      <w:r>
        <w:t>Agricultural operations producing organic waste</w:t>
      </w:r>
    </w:p>
    <w:p w14:paraId="1B36181C" w14:textId="77777777" w:rsidR="00D37098" w:rsidRDefault="00000000">
      <w:pPr>
        <w:pStyle w:val="MdListItem"/>
        <w:numPr>
          <w:ilvl w:val="0"/>
          <w:numId w:val="2"/>
        </w:numPr>
      </w:pPr>
      <w:r>
        <w:t>Vehicle fleets using compressed natural gas (CNG)</w:t>
      </w:r>
    </w:p>
    <w:p w14:paraId="0547AE96" w14:textId="77777777" w:rsidR="00D37098" w:rsidRDefault="00D37098">
      <w:pPr>
        <w:pStyle w:val="MdSpace"/>
        <w:spacing w:after="60"/>
      </w:pPr>
    </w:p>
    <w:p w14:paraId="2A015DC0" w14:textId="77777777" w:rsidR="00D37098" w:rsidRDefault="00000000">
      <w:pPr>
        <w:pStyle w:val="MdParagraph"/>
      </w:pPr>
      <w:r>
        <w:rPr>
          <w:rStyle w:val="MdStrong"/>
        </w:rPr>
        <w:t>Economics:</w:t>
      </w:r>
      <w:r>
        <w:t xml:space="preserve"> RNG configuration benefits from renewable fuel standards (RFS) credits and renewable identification numbers (RINs) in addition to gas sales revenue. Typical RNG value: $0.50-1.50/Nm³ including environmental credits.</w:t>
      </w:r>
    </w:p>
    <w:p w14:paraId="11765D81" w14:textId="77777777" w:rsidR="00D37098" w:rsidRDefault="00D37098">
      <w:pPr>
        <w:pStyle w:val="MdSpace"/>
        <w:spacing w:after="60"/>
      </w:pPr>
    </w:p>
    <w:p w14:paraId="04EDCDAC" w14:textId="09F4BB21" w:rsidR="00D37098" w:rsidRDefault="00000000">
      <w:pPr>
        <w:pStyle w:val="MdParagraph"/>
      </w:pPr>
      <w:r>
        <w:rPr>
          <w:rStyle w:val="MdStrong"/>
        </w:rPr>
        <w:t>Current Status:</w:t>
      </w:r>
      <w:r>
        <w:t xml:space="preserve"> </w:t>
      </w:r>
      <w:r w:rsidR="00C25393">
        <w:t>A</w:t>
      </w:r>
      <w:r>
        <w:t>ctive client interest in RNG production from brewery waste (brewers spent grain) and agricultural bush feed waste.</w:t>
      </w:r>
    </w:p>
    <w:p w14:paraId="31F7EE9E" w14:textId="77777777" w:rsidR="00D37098" w:rsidRDefault="00D37098">
      <w:pPr>
        <w:pStyle w:val="MdSpace"/>
        <w:spacing w:after="60"/>
      </w:pPr>
    </w:p>
    <w:p w14:paraId="0F89E08B" w14:textId="77777777" w:rsidR="00D37098" w:rsidRDefault="00D37098">
      <w:pPr>
        <w:pStyle w:val="MdHr"/>
        <w:pBdr>
          <w:bottom w:val="single" w:sz="6" w:space="1" w:color="auto"/>
        </w:pBdr>
      </w:pPr>
    </w:p>
    <w:p w14:paraId="3777F05D" w14:textId="77777777" w:rsidR="00D37098" w:rsidRDefault="00D37098">
      <w:pPr>
        <w:pStyle w:val="MdSpace"/>
        <w:spacing w:after="60"/>
      </w:pPr>
    </w:p>
    <w:p w14:paraId="0F4CFEA6" w14:textId="77777777" w:rsidR="00D37098" w:rsidRDefault="00000000">
      <w:pPr>
        <w:pStyle w:val="MdHeading2"/>
      </w:pPr>
      <w:r>
        <w:t>4. Feedstock Capabilities</w:t>
      </w:r>
    </w:p>
    <w:p w14:paraId="17D1D823" w14:textId="77777777" w:rsidR="00D37098" w:rsidRDefault="00000000">
      <w:pPr>
        <w:pStyle w:val="MdParagraph"/>
      </w:pPr>
      <w:r>
        <w:t>One of the X-150's key advantages is its ability to process diverse waste feedstocks, creating value from materials that would otherwise require costly disposal or landfilling.</w:t>
      </w:r>
    </w:p>
    <w:p w14:paraId="685D622C" w14:textId="77777777" w:rsidR="00D37098" w:rsidRDefault="00D37098">
      <w:pPr>
        <w:pStyle w:val="MdSpace"/>
        <w:spacing w:after="60"/>
      </w:pPr>
    </w:p>
    <w:p w14:paraId="618C194F" w14:textId="77777777" w:rsidR="00D37098" w:rsidRDefault="00000000">
      <w:pPr>
        <w:pStyle w:val="MdHeading3"/>
      </w:pPr>
      <w:r>
        <w:t>4.1 Municipal Solid Waste (MSW)</w:t>
      </w:r>
    </w:p>
    <w:p w14:paraId="56B3D80B" w14:textId="77777777" w:rsidR="00D37098" w:rsidRDefault="00000000">
      <w:pPr>
        <w:pStyle w:val="MdParagraph"/>
      </w:pPr>
      <w:r>
        <w:rPr>
          <w:rStyle w:val="MdStrong"/>
        </w:rPr>
        <w:t>Characteristics:</w:t>
      </w:r>
    </w:p>
    <w:p w14:paraId="4C7410DC" w14:textId="77777777" w:rsidR="00D37098" w:rsidRDefault="00000000">
      <w:pPr>
        <w:pStyle w:val="MdListItem"/>
        <w:numPr>
          <w:ilvl w:val="0"/>
          <w:numId w:val="2"/>
        </w:numPr>
      </w:pPr>
      <w:r>
        <w:t>Highly heterogeneous composition (paper, plastics, food waste, textiles, etc.)</w:t>
      </w:r>
    </w:p>
    <w:p w14:paraId="1BB7B339" w14:textId="77777777" w:rsidR="00D37098" w:rsidRDefault="00000000">
      <w:pPr>
        <w:pStyle w:val="MdListItem"/>
        <w:numPr>
          <w:ilvl w:val="0"/>
          <w:numId w:val="2"/>
        </w:numPr>
      </w:pPr>
      <w:r>
        <w:t>Moisture content: 20-40% (requires drying)</w:t>
      </w:r>
    </w:p>
    <w:p w14:paraId="71634960" w14:textId="77777777" w:rsidR="00D37098" w:rsidRDefault="00000000">
      <w:pPr>
        <w:pStyle w:val="MdListItem"/>
        <w:numPr>
          <w:ilvl w:val="0"/>
          <w:numId w:val="2"/>
        </w:numPr>
      </w:pPr>
      <w:r>
        <w:t>Heating value: 8-12 MJ/kg</w:t>
      </w:r>
    </w:p>
    <w:p w14:paraId="0902E682" w14:textId="77777777" w:rsidR="00D37098" w:rsidRDefault="00000000">
      <w:pPr>
        <w:pStyle w:val="MdListItem"/>
        <w:numPr>
          <w:ilvl w:val="0"/>
          <w:numId w:val="2"/>
        </w:numPr>
      </w:pPr>
      <w:r>
        <w:t>Ash content: 15-25%</w:t>
      </w:r>
    </w:p>
    <w:p w14:paraId="4F51BBCD" w14:textId="77777777" w:rsidR="00D37098" w:rsidRDefault="00000000">
      <w:pPr>
        <w:pStyle w:val="MdListItem"/>
        <w:numPr>
          <w:ilvl w:val="0"/>
          <w:numId w:val="2"/>
        </w:numPr>
      </w:pPr>
      <w:r>
        <w:t xml:space="preserve">Estimated tar content: 20-100 ppm (before </w:t>
      </w:r>
      <w:proofErr w:type="spellStart"/>
      <w:r>
        <w:t>SyngaPure</w:t>
      </w:r>
      <w:proofErr w:type="spellEnd"/>
      <w:r>
        <w:t>™)</w:t>
      </w:r>
    </w:p>
    <w:p w14:paraId="0D9E989E" w14:textId="77777777" w:rsidR="00D37098" w:rsidRDefault="00D37098">
      <w:pPr>
        <w:pStyle w:val="MdSpace"/>
        <w:spacing w:after="60"/>
      </w:pPr>
    </w:p>
    <w:p w14:paraId="1851A384" w14:textId="77777777" w:rsidR="00D37098" w:rsidRDefault="00000000">
      <w:pPr>
        <w:pStyle w:val="MdParagraph"/>
      </w:pPr>
      <w:r>
        <w:rPr>
          <w:rStyle w:val="MdStrong"/>
        </w:rPr>
        <w:t>Preparation Requirements:</w:t>
      </w:r>
    </w:p>
    <w:p w14:paraId="0EFAC8B0" w14:textId="77777777" w:rsidR="00D37098" w:rsidRDefault="00000000">
      <w:pPr>
        <w:pStyle w:val="MdListItem"/>
        <w:numPr>
          <w:ilvl w:val="0"/>
          <w:numId w:val="2"/>
        </w:numPr>
      </w:pPr>
      <w:r>
        <w:t>Sorting to remove non-combustibles (metals, glass, inorganics)</w:t>
      </w:r>
    </w:p>
    <w:p w14:paraId="45F1B139" w14:textId="77777777" w:rsidR="00D37098" w:rsidRDefault="00000000">
      <w:pPr>
        <w:pStyle w:val="MdListItem"/>
        <w:numPr>
          <w:ilvl w:val="0"/>
          <w:numId w:val="2"/>
        </w:numPr>
      </w:pPr>
      <w:r>
        <w:t>Shredding to 10-50 mm particle size</w:t>
      </w:r>
    </w:p>
    <w:p w14:paraId="6428B4C4" w14:textId="77777777" w:rsidR="00D37098" w:rsidRDefault="00000000">
      <w:pPr>
        <w:pStyle w:val="MdListItem"/>
        <w:numPr>
          <w:ilvl w:val="0"/>
          <w:numId w:val="2"/>
        </w:numPr>
      </w:pPr>
      <w:r>
        <w:t>Drying to &lt;15% moisture (using waste heat from system)</w:t>
      </w:r>
    </w:p>
    <w:p w14:paraId="08ABB3F9" w14:textId="77777777" w:rsidR="00D37098" w:rsidRDefault="00000000">
      <w:pPr>
        <w:pStyle w:val="MdListItem"/>
        <w:numPr>
          <w:ilvl w:val="0"/>
          <w:numId w:val="2"/>
        </w:numPr>
      </w:pPr>
      <w:r>
        <w:t>Removal of hazardous materials (batteries, electronics)</w:t>
      </w:r>
    </w:p>
    <w:p w14:paraId="3E241918" w14:textId="77777777" w:rsidR="00D37098" w:rsidRDefault="00D37098">
      <w:pPr>
        <w:pStyle w:val="MdSpace"/>
        <w:spacing w:after="60"/>
      </w:pPr>
    </w:p>
    <w:p w14:paraId="09E38C0F" w14:textId="77777777" w:rsidR="00D37098" w:rsidRDefault="00000000">
      <w:pPr>
        <w:pStyle w:val="MdParagraph"/>
      </w:pPr>
      <w:r>
        <w:rPr>
          <w:rStyle w:val="MdStrong"/>
        </w:rPr>
        <w:t>Applications:</w:t>
      </w:r>
    </w:p>
    <w:p w14:paraId="7980C2DC" w14:textId="77777777" w:rsidR="00D37098" w:rsidRDefault="00000000">
      <w:pPr>
        <w:pStyle w:val="MdListItem"/>
        <w:numPr>
          <w:ilvl w:val="0"/>
          <w:numId w:val="2"/>
        </w:numPr>
      </w:pPr>
      <w:r>
        <w:t>VOLT: Electricity for municipal facilities or grid export</w:t>
      </w:r>
    </w:p>
    <w:p w14:paraId="5BC06097" w14:textId="77777777" w:rsidR="00D37098" w:rsidRDefault="00000000">
      <w:pPr>
        <w:pStyle w:val="MdListItem"/>
        <w:numPr>
          <w:ilvl w:val="0"/>
          <w:numId w:val="2"/>
        </w:numPr>
      </w:pPr>
      <w:r>
        <w:t>HEAT: District heating systems</w:t>
      </w:r>
    </w:p>
    <w:p w14:paraId="7E4665A1" w14:textId="77777777" w:rsidR="00D37098" w:rsidRDefault="00000000">
      <w:pPr>
        <w:pStyle w:val="MdListItem"/>
        <w:numPr>
          <w:ilvl w:val="0"/>
          <w:numId w:val="2"/>
        </w:numPr>
      </w:pPr>
      <w:r>
        <w:t>SAF: High-value application for landfill diversion</w:t>
      </w:r>
    </w:p>
    <w:p w14:paraId="6DB5DD74" w14:textId="77777777" w:rsidR="00D37098" w:rsidRDefault="00000000">
      <w:pPr>
        <w:pStyle w:val="MdListItem"/>
        <w:numPr>
          <w:ilvl w:val="0"/>
          <w:numId w:val="2"/>
        </w:numPr>
      </w:pPr>
      <w:r>
        <w:t>RNG: Pipeline injection or vehicle fuel</w:t>
      </w:r>
    </w:p>
    <w:p w14:paraId="74FD90AA" w14:textId="77777777" w:rsidR="00D37098" w:rsidRDefault="00D37098">
      <w:pPr>
        <w:pStyle w:val="MdSpace"/>
        <w:spacing w:after="60"/>
      </w:pPr>
    </w:p>
    <w:p w14:paraId="3EA3CEC2" w14:textId="77777777" w:rsidR="00D37098" w:rsidRDefault="00000000">
      <w:pPr>
        <w:pStyle w:val="MdParagraph"/>
      </w:pPr>
      <w:r>
        <w:rPr>
          <w:rStyle w:val="MdStrong"/>
        </w:rPr>
        <w:t>Economics:</w:t>
      </w:r>
      <w:r>
        <w:t xml:space="preserve"> MSW gasification is attractive when tipping fees are high ($50-150/tonne in many developed markets). The combination of avoided disposal costs and energy revenue creates strong economics.</w:t>
      </w:r>
    </w:p>
    <w:p w14:paraId="2D3FABD7" w14:textId="77777777" w:rsidR="00D37098" w:rsidRDefault="00D37098">
      <w:pPr>
        <w:pStyle w:val="MdSpace"/>
        <w:spacing w:after="60"/>
      </w:pPr>
    </w:p>
    <w:p w14:paraId="7EB015E4" w14:textId="10E5A124" w:rsidR="00D37098" w:rsidRDefault="00000000">
      <w:pPr>
        <w:pStyle w:val="MdParagraph"/>
      </w:pPr>
      <w:r>
        <w:rPr>
          <w:rStyle w:val="MdStrong"/>
        </w:rPr>
        <w:t>Market Opportunity:</w:t>
      </w:r>
      <w:r>
        <w:t xml:space="preserve"> Global MSW generation exceeds 2 billion tonnes annually, with significant portions still landfilled. </w:t>
      </w:r>
      <w:r w:rsidR="00C25393">
        <w:t>Our</w:t>
      </w:r>
      <w:r>
        <w:t xml:space="preserve"> technology enables distributed, small-scale MSW processing that complements large centralized facilities.</w:t>
      </w:r>
    </w:p>
    <w:p w14:paraId="4444D446" w14:textId="77777777" w:rsidR="00D37098" w:rsidRDefault="00D37098">
      <w:pPr>
        <w:pStyle w:val="MdSpace"/>
        <w:spacing w:after="60"/>
      </w:pPr>
    </w:p>
    <w:p w14:paraId="1F90526E" w14:textId="77777777" w:rsidR="00D37098" w:rsidRDefault="00000000">
      <w:pPr>
        <w:pStyle w:val="MdHeading3"/>
      </w:pPr>
      <w:r>
        <w:t>4.2 Brewery Waste (Brewers Spent Grain - BSG)</w:t>
      </w:r>
    </w:p>
    <w:p w14:paraId="7EB706FF" w14:textId="77777777" w:rsidR="00D37098" w:rsidRDefault="00000000">
      <w:pPr>
        <w:pStyle w:val="MdParagraph"/>
      </w:pPr>
      <w:r>
        <w:rPr>
          <w:rStyle w:val="MdStrong"/>
        </w:rPr>
        <w:t>Characteristics:</w:t>
      </w:r>
    </w:p>
    <w:p w14:paraId="4E9457F3" w14:textId="77777777" w:rsidR="00D37098" w:rsidRDefault="00000000">
      <w:pPr>
        <w:pStyle w:val="MdListItem"/>
        <w:numPr>
          <w:ilvl w:val="0"/>
          <w:numId w:val="2"/>
        </w:numPr>
      </w:pPr>
      <w:r>
        <w:t>Relatively homogeneous composition (primarily grain residues)</w:t>
      </w:r>
    </w:p>
    <w:p w14:paraId="2BFEF419" w14:textId="77777777" w:rsidR="00D37098" w:rsidRDefault="00000000">
      <w:pPr>
        <w:pStyle w:val="MdListItem"/>
        <w:numPr>
          <w:ilvl w:val="0"/>
          <w:numId w:val="2"/>
        </w:numPr>
      </w:pPr>
      <w:r>
        <w:t>Moisture content: 70-80% as-produced (requires significant drying)</w:t>
      </w:r>
    </w:p>
    <w:p w14:paraId="6EE72F5B" w14:textId="77777777" w:rsidR="00D37098" w:rsidRDefault="00000000">
      <w:pPr>
        <w:pStyle w:val="MdListItem"/>
        <w:numPr>
          <w:ilvl w:val="0"/>
          <w:numId w:val="2"/>
        </w:numPr>
      </w:pPr>
      <w:r>
        <w:lastRenderedPageBreak/>
        <w:t>Heating value: 16-18 MJ/kg (dry basis)</w:t>
      </w:r>
    </w:p>
    <w:p w14:paraId="3610B2D1" w14:textId="77777777" w:rsidR="00D37098" w:rsidRDefault="00000000">
      <w:pPr>
        <w:pStyle w:val="MdListItem"/>
        <w:numPr>
          <w:ilvl w:val="0"/>
          <w:numId w:val="2"/>
        </w:numPr>
      </w:pPr>
      <w:r>
        <w:t>Ash content: 3-5%</w:t>
      </w:r>
    </w:p>
    <w:p w14:paraId="39A8C009" w14:textId="77777777" w:rsidR="00D37098" w:rsidRDefault="00000000">
      <w:pPr>
        <w:pStyle w:val="MdListItem"/>
        <w:numPr>
          <w:ilvl w:val="0"/>
          <w:numId w:val="2"/>
        </w:numPr>
      </w:pPr>
      <w:r>
        <w:t xml:space="preserve">Estimated tar content: 10-20 ppm (before </w:t>
      </w:r>
      <w:proofErr w:type="spellStart"/>
      <w:r>
        <w:t>SyngaPure</w:t>
      </w:r>
      <w:proofErr w:type="spellEnd"/>
      <w:r>
        <w:t>™)</w:t>
      </w:r>
    </w:p>
    <w:p w14:paraId="19DBF762" w14:textId="77777777" w:rsidR="00D37098" w:rsidRDefault="00D37098">
      <w:pPr>
        <w:pStyle w:val="MdSpace"/>
        <w:spacing w:after="60"/>
      </w:pPr>
    </w:p>
    <w:p w14:paraId="26AE2379" w14:textId="77777777" w:rsidR="00D37098" w:rsidRDefault="00000000">
      <w:pPr>
        <w:pStyle w:val="MdParagraph"/>
      </w:pPr>
      <w:r>
        <w:rPr>
          <w:rStyle w:val="MdStrong"/>
        </w:rPr>
        <w:t>Preparation Requirements:</w:t>
      </w:r>
    </w:p>
    <w:p w14:paraId="0193ADA1" w14:textId="77777777" w:rsidR="00D37098" w:rsidRDefault="00000000">
      <w:pPr>
        <w:pStyle w:val="MdListItem"/>
        <w:numPr>
          <w:ilvl w:val="0"/>
          <w:numId w:val="2"/>
        </w:numPr>
      </w:pPr>
      <w:r>
        <w:t>Drying to &lt;15% moisture (energy-intensive but can use waste heat)</w:t>
      </w:r>
    </w:p>
    <w:p w14:paraId="1978B6B5" w14:textId="77777777" w:rsidR="00D37098" w:rsidRDefault="00000000">
      <w:pPr>
        <w:pStyle w:val="MdListItem"/>
        <w:numPr>
          <w:ilvl w:val="0"/>
          <w:numId w:val="2"/>
        </w:numPr>
      </w:pPr>
      <w:r>
        <w:t>Minimal shredding (already small particle size)</w:t>
      </w:r>
    </w:p>
    <w:p w14:paraId="47060097" w14:textId="77777777" w:rsidR="00D37098" w:rsidRDefault="00000000">
      <w:pPr>
        <w:pStyle w:val="MdListItem"/>
        <w:numPr>
          <w:ilvl w:val="0"/>
          <w:numId w:val="2"/>
        </w:numPr>
      </w:pPr>
      <w:r>
        <w:t>Minimal contaminants</w:t>
      </w:r>
    </w:p>
    <w:p w14:paraId="4C518718" w14:textId="77777777" w:rsidR="00D37098" w:rsidRDefault="00D37098">
      <w:pPr>
        <w:pStyle w:val="MdSpace"/>
        <w:spacing w:after="60"/>
      </w:pPr>
    </w:p>
    <w:p w14:paraId="6EB88AF8" w14:textId="77777777" w:rsidR="00D37098" w:rsidRDefault="00000000">
      <w:pPr>
        <w:pStyle w:val="MdParagraph"/>
      </w:pPr>
      <w:r>
        <w:rPr>
          <w:rStyle w:val="MdStrong"/>
        </w:rPr>
        <w:t>Applications:</w:t>
      </w:r>
    </w:p>
    <w:p w14:paraId="38B83179" w14:textId="54639DA5" w:rsidR="00D37098" w:rsidRDefault="00000000">
      <w:pPr>
        <w:pStyle w:val="MdListItem"/>
        <w:numPr>
          <w:ilvl w:val="0"/>
          <w:numId w:val="2"/>
        </w:numPr>
      </w:pPr>
      <w:r>
        <w:t xml:space="preserve">VOLT: On-site brewery electricity </w:t>
      </w:r>
    </w:p>
    <w:p w14:paraId="0D4EBFA9" w14:textId="7E157B8E" w:rsidR="00D37098" w:rsidRDefault="00000000">
      <w:pPr>
        <w:pStyle w:val="MdListItem"/>
        <w:numPr>
          <w:ilvl w:val="0"/>
          <w:numId w:val="2"/>
        </w:numPr>
      </w:pPr>
      <w:r>
        <w:t xml:space="preserve">HEAT: Brewery process heat </w:t>
      </w:r>
    </w:p>
    <w:p w14:paraId="211B5B90" w14:textId="0CA3AC4B" w:rsidR="00D37098" w:rsidRDefault="00000000">
      <w:pPr>
        <w:pStyle w:val="MdListItem"/>
        <w:numPr>
          <w:ilvl w:val="0"/>
          <w:numId w:val="2"/>
        </w:numPr>
      </w:pPr>
      <w:r>
        <w:t>RNG: Vehicle fuel or pipeline injection)</w:t>
      </w:r>
    </w:p>
    <w:p w14:paraId="31945A63" w14:textId="77777777" w:rsidR="00D37098" w:rsidRDefault="00D37098">
      <w:pPr>
        <w:pStyle w:val="MdSpace"/>
        <w:spacing w:after="60"/>
      </w:pPr>
    </w:p>
    <w:p w14:paraId="235C4ED9" w14:textId="77777777" w:rsidR="00D37098" w:rsidRDefault="00000000">
      <w:pPr>
        <w:pStyle w:val="MdParagraph"/>
      </w:pPr>
      <w:r>
        <w:rPr>
          <w:rStyle w:val="MdStrong"/>
        </w:rPr>
        <w:t>Economics:</w:t>
      </w:r>
      <w:r>
        <w:t xml:space="preserve"> Breweries currently pay $20-50/tonne for BSG disposal or give it away as animal feed. Converting BSG to energy eliminates disposal costs and reduces purchased energy, creating dual value streams.</w:t>
      </w:r>
    </w:p>
    <w:p w14:paraId="2749AE3B" w14:textId="77777777" w:rsidR="00D37098" w:rsidRDefault="00D37098">
      <w:pPr>
        <w:pStyle w:val="MdSpace"/>
        <w:spacing w:after="60"/>
      </w:pPr>
    </w:p>
    <w:p w14:paraId="50ADC747" w14:textId="77777777" w:rsidR="00D37098" w:rsidRDefault="00000000">
      <w:pPr>
        <w:pStyle w:val="MdParagraph"/>
      </w:pPr>
      <w:r>
        <w:rPr>
          <w:rStyle w:val="MdStrong"/>
        </w:rPr>
        <w:t>Market Opportunity:</w:t>
      </w:r>
      <w:r>
        <w:t xml:space="preserve"> Large breweries produce 50-200 tonnes BSG/day. A single X-150 unit (3.6 tonnes/day capacity) is well-suited to craft breweries and small-to-medium commercial breweries. Multiple units can serve larger facilities.</w:t>
      </w:r>
    </w:p>
    <w:p w14:paraId="35C2D153" w14:textId="77777777" w:rsidR="00D37098" w:rsidRDefault="00D37098">
      <w:pPr>
        <w:pStyle w:val="MdSpace"/>
        <w:spacing w:after="60"/>
      </w:pPr>
    </w:p>
    <w:p w14:paraId="2CA9A963" w14:textId="77777777" w:rsidR="00D37098" w:rsidRDefault="00D37098">
      <w:pPr>
        <w:pStyle w:val="MdSpace"/>
        <w:spacing w:after="60"/>
      </w:pPr>
    </w:p>
    <w:p w14:paraId="03D40E4A" w14:textId="77777777" w:rsidR="00D37098" w:rsidRDefault="00000000">
      <w:pPr>
        <w:pStyle w:val="MdHeading3"/>
      </w:pPr>
      <w:r>
        <w:t>4.3 Agricultural Waste (Bush Feed, Crop Residues, Straw)</w:t>
      </w:r>
    </w:p>
    <w:p w14:paraId="7934DFC2" w14:textId="77777777" w:rsidR="00D37098" w:rsidRDefault="00000000">
      <w:pPr>
        <w:pStyle w:val="MdParagraph"/>
      </w:pPr>
      <w:r>
        <w:rPr>
          <w:rStyle w:val="MdStrong"/>
        </w:rPr>
        <w:t>Characteristics:</w:t>
      </w:r>
    </w:p>
    <w:p w14:paraId="7C78FC20" w14:textId="77777777" w:rsidR="00D37098" w:rsidRDefault="00000000">
      <w:pPr>
        <w:pStyle w:val="MdListItem"/>
        <w:numPr>
          <w:ilvl w:val="0"/>
          <w:numId w:val="2"/>
        </w:numPr>
      </w:pPr>
      <w:r>
        <w:t>Variable composition depending on crop type</w:t>
      </w:r>
    </w:p>
    <w:p w14:paraId="486D5222" w14:textId="77777777" w:rsidR="00D37098" w:rsidRDefault="00000000">
      <w:pPr>
        <w:pStyle w:val="MdListItem"/>
        <w:numPr>
          <w:ilvl w:val="0"/>
          <w:numId w:val="2"/>
        </w:numPr>
      </w:pPr>
      <w:r>
        <w:t>Moisture content: 10-30% (seasonal variation)</w:t>
      </w:r>
    </w:p>
    <w:p w14:paraId="24F4BB98" w14:textId="77777777" w:rsidR="00D37098" w:rsidRDefault="00000000">
      <w:pPr>
        <w:pStyle w:val="MdListItem"/>
        <w:numPr>
          <w:ilvl w:val="0"/>
          <w:numId w:val="2"/>
        </w:numPr>
      </w:pPr>
      <w:r>
        <w:t>Heating value: 14-18 MJ/kg</w:t>
      </w:r>
    </w:p>
    <w:p w14:paraId="5BCD7681" w14:textId="77777777" w:rsidR="00D37098" w:rsidRDefault="00000000">
      <w:pPr>
        <w:pStyle w:val="MdListItem"/>
        <w:numPr>
          <w:ilvl w:val="0"/>
          <w:numId w:val="2"/>
        </w:numPr>
      </w:pPr>
      <w:r>
        <w:t>Ash content: 5-15%</w:t>
      </w:r>
    </w:p>
    <w:p w14:paraId="74482D38" w14:textId="77777777" w:rsidR="00D37098" w:rsidRDefault="00000000">
      <w:pPr>
        <w:pStyle w:val="MdListItem"/>
        <w:numPr>
          <w:ilvl w:val="0"/>
          <w:numId w:val="2"/>
        </w:numPr>
      </w:pPr>
      <w:r>
        <w:t>Chlorine content: Can be high in straw (&gt;0.5%), causing corrosion concerns</w:t>
      </w:r>
    </w:p>
    <w:p w14:paraId="0FFBAEF0" w14:textId="77777777" w:rsidR="00D37098" w:rsidRDefault="00000000">
      <w:pPr>
        <w:pStyle w:val="MdListItem"/>
        <w:numPr>
          <w:ilvl w:val="0"/>
          <w:numId w:val="2"/>
        </w:numPr>
      </w:pPr>
      <w:r>
        <w:t xml:space="preserve">Estimated tar content: 15-50 ppm (before </w:t>
      </w:r>
      <w:proofErr w:type="spellStart"/>
      <w:r>
        <w:t>SyngaPure</w:t>
      </w:r>
      <w:proofErr w:type="spellEnd"/>
      <w:r>
        <w:t>™)</w:t>
      </w:r>
    </w:p>
    <w:p w14:paraId="4572EEC0" w14:textId="77777777" w:rsidR="00D37098" w:rsidRDefault="00D37098">
      <w:pPr>
        <w:pStyle w:val="MdSpace"/>
        <w:spacing w:after="60"/>
      </w:pPr>
    </w:p>
    <w:p w14:paraId="653E131D" w14:textId="77777777" w:rsidR="00D37098" w:rsidRDefault="00000000">
      <w:pPr>
        <w:pStyle w:val="MdParagraph"/>
      </w:pPr>
      <w:r>
        <w:rPr>
          <w:rStyle w:val="MdStrong"/>
        </w:rPr>
        <w:t>Preparation Requirements:</w:t>
      </w:r>
    </w:p>
    <w:p w14:paraId="197037CC" w14:textId="77777777" w:rsidR="00D37098" w:rsidRDefault="00000000">
      <w:pPr>
        <w:pStyle w:val="MdListItem"/>
        <w:numPr>
          <w:ilvl w:val="0"/>
          <w:numId w:val="2"/>
        </w:numPr>
      </w:pPr>
      <w:r>
        <w:t>Shredding/chopping to appropriate particle size</w:t>
      </w:r>
    </w:p>
    <w:p w14:paraId="0119550B" w14:textId="77777777" w:rsidR="00D37098" w:rsidRDefault="00000000">
      <w:pPr>
        <w:pStyle w:val="MdListItem"/>
        <w:numPr>
          <w:ilvl w:val="0"/>
          <w:numId w:val="2"/>
        </w:numPr>
      </w:pPr>
      <w:r>
        <w:t>Drying if moisture &gt;15%</w:t>
      </w:r>
    </w:p>
    <w:p w14:paraId="43E048DC" w14:textId="77777777" w:rsidR="00D37098" w:rsidRDefault="00000000">
      <w:pPr>
        <w:pStyle w:val="MdListItem"/>
        <w:numPr>
          <w:ilvl w:val="0"/>
          <w:numId w:val="2"/>
        </w:numPr>
      </w:pPr>
      <w:r>
        <w:t>Careful monitoring of chlorine content (may require feedstock blending)</w:t>
      </w:r>
    </w:p>
    <w:p w14:paraId="0E57ECCE" w14:textId="77777777" w:rsidR="00D37098" w:rsidRDefault="00D37098">
      <w:pPr>
        <w:pStyle w:val="MdSpace"/>
        <w:spacing w:after="60"/>
      </w:pPr>
    </w:p>
    <w:p w14:paraId="5E244159" w14:textId="77777777" w:rsidR="00D37098" w:rsidRDefault="00000000">
      <w:pPr>
        <w:pStyle w:val="MdParagraph"/>
      </w:pPr>
      <w:r>
        <w:rPr>
          <w:rStyle w:val="MdStrong"/>
        </w:rPr>
        <w:t>Applications:</w:t>
      </w:r>
    </w:p>
    <w:p w14:paraId="2FEBDB1C" w14:textId="77777777" w:rsidR="00D37098" w:rsidRDefault="00000000">
      <w:pPr>
        <w:pStyle w:val="MdListItem"/>
        <w:numPr>
          <w:ilvl w:val="0"/>
          <w:numId w:val="2"/>
        </w:numPr>
      </w:pPr>
      <w:r>
        <w:t>VOLT: Farm electricity, reducing grid dependence</w:t>
      </w:r>
    </w:p>
    <w:p w14:paraId="06418A9B" w14:textId="77777777" w:rsidR="00D37098" w:rsidRDefault="00000000">
      <w:pPr>
        <w:pStyle w:val="MdListItem"/>
        <w:numPr>
          <w:ilvl w:val="0"/>
          <w:numId w:val="2"/>
        </w:numPr>
      </w:pPr>
      <w:r>
        <w:t>HEAT: Greenhouse heating, grain drying</w:t>
      </w:r>
    </w:p>
    <w:p w14:paraId="1B6F1016" w14:textId="496273FE" w:rsidR="00D37098" w:rsidRDefault="00000000">
      <w:pPr>
        <w:pStyle w:val="MdListItem"/>
        <w:numPr>
          <w:ilvl w:val="0"/>
          <w:numId w:val="2"/>
        </w:numPr>
      </w:pPr>
      <w:r>
        <w:t xml:space="preserve">RNG: Vehicle fuel for farm equipment </w:t>
      </w:r>
    </w:p>
    <w:p w14:paraId="0EC8E32D" w14:textId="77777777" w:rsidR="00D37098" w:rsidRDefault="00000000">
      <w:pPr>
        <w:pStyle w:val="MdListItem"/>
        <w:numPr>
          <w:ilvl w:val="0"/>
          <w:numId w:val="2"/>
        </w:numPr>
      </w:pPr>
      <w:r>
        <w:t>CHILL: Crop storage cooling</w:t>
      </w:r>
    </w:p>
    <w:p w14:paraId="4BBFFE41" w14:textId="77777777" w:rsidR="00D37098" w:rsidRDefault="00D37098">
      <w:pPr>
        <w:pStyle w:val="MdSpace"/>
        <w:spacing w:after="60"/>
      </w:pPr>
    </w:p>
    <w:p w14:paraId="1F89D357" w14:textId="77777777" w:rsidR="00D37098" w:rsidRDefault="00000000">
      <w:pPr>
        <w:pStyle w:val="MdParagraph"/>
      </w:pPr>
      <w:r>
        <w:rPr>
          <w:rStyle w:val="MdStrong"/>
        </w:rPr>
        <w:t>Economics:</w:t>
      </w:r>
      <w:r>
        <w:t xml:space="preserve"> Agricultural waste often has low or negative disposal cost but is seasonally available. On-farm energy production reduces purchased electricity and diesel fuel costs.</w:t>
      </w:r>
    </w:p>
    <w:p w14:paraId="057D6E46" w14:textId="77777777" w:rsidR="00D37098" w:rsidRDefault="00D37098">
      <w:pPr>
        <w:pStyle w:val="MdSpace"/>
        <w:spacing w:after="60"/>
      </w:pPr>
    </w:p>
    <w:p w14:paraId="37FC39B7" w14:textId="77777777" w:rsidR="00D37098" w:rsidRDefault="00000000">
      <w:pPr>
        <w:pStyle w:val="MdParagraph"/>
      </w:pPr>
      <w:r>
        <w:rPr>
          <w:rStyle w:val="MdStrong"/>
        </w:rPr>
        <w:t>Market Opportunity:</w:t>
      </w:r>
      <w:r>
        <w:t xml:space="preserve"> Global agricultural waste generation exceeds 5 billion tonnes annually. Distributed gasification enables on-farm energy production, reducing transportation costs and creating energy independence for agricultural operations.</w:t>
      </w:r>
    </w:p>
    <w:p w14:paraId="1989E107" w14:textId="77777777" w:rsidR="00D37098" w:rsidRDefault="00D37098">
      <w:pPr>
        <w:pStyle w:val="MdSpace"/>
        <w:spacing w:after="60"/>
      </w:pPr>
    </w:p>
    <w:p w14:paraId="598A93B9" w14:textId="77777777" w:rsidR="00D37098" w:rsidRDefault="00000000">
      <w:pPr>
        <w:pStyle w:val="MdHeading3"/>
      </w:pPr>
      <w:r>
        <w:t>4.4 Forestry and Wood Waste</w:t>
      </w:r>
    </w:p>
    <w:p w14:paraId="3451F34E" w14:textId="77777777" w:rsidR="00D37098" w:rsidRDefault="00000000">
      <w:pPr>
        <w:pStyle w:val="MdParagraph"/>
      </w:pPr>
      <w:r>
        <w:rPr>
          <w:rStyle w:val="MdStrong"/>
        </w:rPr>
        <w:t>Characteristics:</w:t>
      </w:r>
    </w:p>
    <w:p w14:paraId="46EFBBAC" w14:textId="77777777" w:rsidR="00D37098" w:rsidRDefault="00000000">
      <w:pPr>
        <w:pStyle w:val="MdListItem"/>
        <w:numPr>
          <w:ilvl w:val="0"/>
          <w:numId w:val="2"/>
        </w:numPr>
      </w:pPr>
      <w:r>
        <w:t>Clean, homogeneous feedstock (best-case scenario)</w:t>
      </w:r>
    </w:p>
    <w:p w14:paraId="75FF8222" w14:textId="77777777" w:rsidR="00D37098" w:rsidRDefault="00000000">
      <w:pPr>
        <w:pStyle w:val="MdListItem"/>
        <w:numPr>
          <w:ilvl w:val="0"/>
          <w:numId w:val="2"/>
        </w:numPr>
      </w:pPr>
      <w:r>
        <w:t>Moisture content: 10-20% (air-dried wood)</w:t>
      </w:r>
    </w:p>
    <w:p w14:paraId="66304B95" w14:textId="77777777" w:rsidR="00D37098" w:rsidRDefault="00000000">
      <w:pPr>
        <w:pStyle w:val="MdListItem"/>
        <w:numPr>
          <w:ilvl w:val="0"/>
          <w:numId w:val="2"/>
        </w:numPr>
      </w:pPr>
      <w:r>
        <w:t>Heating value: 16-20 MJ/kg</w:t>
      </w:r>
    </w:p>
    <w:p w14:paraId="65D08F6F" w14:textId="77777777" w:rsidR="00D37098" w:rsidRDefault="00000000">
      <w:pPr>
        <w:pStyle w:val="MdListItem"/>
        <w:numPr>
          <w:ilvl w:val="0"/>
          <w:numId w:val="2"/>
        </w:numPr>
      </w:pPr>
      <w:r>
        <w:t>Ash content: 1-3%</w:t>
      </w:r>
    </w:p>
    <w:p w14:paraId="0D1B7C47" w14:textId="77777777" w:rsidR="00D37098" w:rsidRDefault="00000000">
      <w:pPr>
        <w:pStyle w:val="MdListItem"/>
        <w:numPr>
          <w:ilvl w:val="0"/>
          <w:numId w:val="2"/>
        </w:numPr>
      </w:pPr>
      <w:r>
        <w:t>Tar content: 8 ppm (baseline X-150 performance validated on wood)</w:t>
      </w:r>
    </w:p>
    <w:p w14:paraId="727B794B" w14:textId="77777777" w:rsidR="00D37098" w:rsidRDefault="00D37098">
      <w:pPr>
        <w:pStyle w:val="MdSpace"/>
        <w:spacing w:after="60"/>
      </w:pPr>
    </w:p>
    <w:p w14:paraId="05E939B8" w14:textId="77777777" w:rsidR="00D37098" w:rsidRDefault="00000000">
      <w:pPr>
        <w:pStyle w:val="MdParagraph"/>
      </w:pPr>
      <w:r>
        <w:rPr>
          <w:rStyle w:val="MdStrong"/>
        </w:rPr>
        <w:t>Preparation Requirements:</w:t>
      </w:r>
    </w:p>
    <w:p w14:paraId="5F580AE7" w14:textId="77777777" w:rsidR="00D37098" w:rsidRDefault="00000000">
      <w:pPr>
        <w:pStyle w:val="MdListItem"/>
        <w:numPr>
          <w:ilvl w:val="0"/>
          <w:numId w:val="2"/>
        </w:numPr>
      </w:pPr>
      <w:r>
        <w:t>Chipping to appropriate particle size</w:t>
      </w:r>
    </w:p>
    <w:p w14:paraId="4FA72F8F" w14:textId="77777777" w:rsidR="00D37098" w:rsidRDefault="00000000">
      <w:pPr>
        <w:pStyle w:val="MdListItem"/>
        <w:numPr>
          <w:ilvl w:val="0"/>
          <w:numId w:val="2"/>
        </w:numPr>
      </w:pPr>
      <w:r>
        <w:t>Minimal drying needed for air-dried wood</w:t>
      </w:r>
    </w:p>
    <w:p w14:paraId="5BD87383" w14:textId="77777777" w:rsidR="00D37098" w:rsidRDefault="00000000">
      <w:pPr>
        <w:pStyle w:val="MdListItem"/>
        <w:numPr>
          <w:ilvl w:val="0"/>
          <w:numId w:val="2"/>
        </w:numPr>
      </w:pPr>
      <w:r>
        <w:t>Very low contaminants</w:t>
      </w:r>
    </w:p>
    <w:p w14:paraId="19D45E61" w14:textId="77777777" w:rsidR="00D37098" w:rsidRDefault="00D37098">
      <w:pPr>
        <w:pStyle w:val="MdSpace"/>
        <w:spacing w:after="60"/>
      </w:pPr>
    </w:p>
    <w:p w14:paraId="03357766" w14:textId="77777777" w:rsidR="00D37098" w:rsidRDefault="00000000">
      <w:pPr>
        <w:pStyle w:val="MdParagraph"/>
      </w:pPr>
      <w:r>
        <w:rPr>
          <w:rStyle w:val="MdStrong"/>
        </w:rPr>
        <w:t>Applications:</w:t>
      </w:r>
    </w:p>
    <w:p w14:paraId="35323476" w14:textId="77777777" w:rsidR="00D37098" w:rsidRDefault="00000000">
      <w:pPr>
        <w:pStyle w:val="MdListItem"/>
        <w:numPr>
          <w:ilvl w:val="0"/>
          <w:numId w:val="2"/>
        </w:numPr>
      </w:pPr>
      <w:r>
        <w:t>All configurations (VOLT, HEAT, CHILL, H₂, SAF, RNG)</w:t>
      </w:r>
    </w:p>
    <w:p w14:paraId="62135362" w14:textId="77777777" w:rsidR="00D37098" w:rsidRDefault="00000000">
      <w:pPr>
        <w:pStyle w:val="MdListItem"/>
        <w:numPr>
          <w:ilvl w:val="0"/>
          <w:numId w:val="2"/>
        </w:numPr>
      </w:pPr>
      <w:r>
        <w:t>Ideal feedstock for initial deployments and technology validation</w:t>
      </w:r>
    </w:p>
    <w:p w14:paraId="1A72B025" w14:textId="77777777" w:rsidR="00D37098" w:rsidRDefault="00D37098">
      <w:pPr>
        <w:pStyle w:val="MdSpace"/>
        <w:spacing w:after="60"/>
      </w:pPr>
    </w:p>
    <w:p w14:paraId="3CDC313E" w14:textId="77777777" w:rsidR="00D37098" w:rsidRDefault="00000000">
      <w:pPr>
        <w:pStyle w:val="MdParagraph"/>
      </w:pPr>
      <w:r>
        <w:rPr>
          <w:rStyle w:val="MdStrong"/>
        </w:rPr>
        <w:t>Economics:</w:t>
      </w:r>
      <w:r>
        <w:t xml:space="preserve"> Wood waste disposal costs vary widely. Sawmills and wood processing facilities may pay $10-40/tonne for disposal. Forest residues may have zero disposal cost but require collection and transportation.</w:t>
      </w:r>
    </w:p>
    <w:p w14:paraId="6659DB08" w14:textId="77777777" w:rsidR="00D37098" w:rsidRDefault="00D37098">
      <w:pPr>
        <w:pStyle w:val="MdSpace"/>
        <w:spacing w:after="60"/>
      </w:pPr>
    </w:p>
    <w:p w14:paraId="2034B500" w14:textId="77777777" w:rsidR="00D37098" w:rsidRDefault="00000000">
      <w:pPr>
        <w:pStyle w:val="MdParagraph"/>
      </w:pPr>
      <w:r>
        <w:rPr>
          <w:rStyle w:val="MdStrong"/>
        </w:rPr>
        <w:t>Market Opportunity:</w:t>
      </w:r>
      <w:r>
        <w:t xml:space="preserve"> Forestry residues, sawmill waste, and wood processing by-products represent a large, underutilized resource. The X-150's small scale enables distributed processing close to waste generation points.</w:t>
      </w:r>
    </w:p>
    <w:p w14:paraId="2110747A" w14:textId="77777777" w:rsidR="00D37098" w:rsidRDefault="00D37098">
      <w:pPr>
        <w:pStyle w:val="MdSpace"/>
        <w:spacing w:after="60"/>
      </w:pPr>
    </w:p>
    <w:p w14:paraId="0F513DFF" w14:textId="77777777" w:rsidR="00D37098" w:rsidRDefault="00000000">
      <w:pPr>
        <w:pStyle w:val="MdHeading3"/>
      </w:pPr>
      <w:r>
        <w:t>4.5 Sewage Sludge</w:t>
      </w:r>
    </w:p>
    <w:p w14:paraId="3AC412AA" w14:textId="77777777" w:rsidR="00D37098" w:rsidRDefault="00000000">
      <w:pPr>
        <w:pStyle w:val="MdParagraph"/>
      </w:pPr>
      <w:r>
        <w:rPr>
          <w:rStyle w:val="MdStrong"/>
        </w:rPr>
        <w:t>Characteristics:</w:t>
      </w:r>
    </w:p>
    <w:p w14:paraId="0F0CD1FC" w14:textId="77777777" w:rsidR="00D37098" w:rsidRDefault="00000000">
      <w:pPr>
        <w:pStyle w:val="MdListItem"/>
        <w:numPr>
          <w:ilvl w:val="0"/>
          <w:numId w:val="2"/>
        </w:numPr>
      </w:pPr>
      <w:r>
        <w:t>High moisture content: 70-85% (requires extensive drying)</w:t>
      </w:r>
    </w:p>
    <w:p w14:paraId="79E07C4C" w14:textId="77777777" w:rsidR="00D37098" w:rsidRDefault="00000000">
      <w:pPr>
        <w:pStyle w:val="MdListItem"/>
        <w:numPr>
          <w:ilvl w:val="0"/>
          <w:numId w:val="2"/>
        </w:numPr>
      </w:pPr>
      <w:r>
        <w:t>Heating value: 10-15 MJ/kg (dry basis)</w:t>
      </w:r>
    </w:p>
    <w:p w14:paraId="340D61F3" w14:textId="77777777" w:rsidR="00D37098" w:rsidRDefault="00000000">
      <w:pPr>
        <w:pStyle w:val="MdListItem"/>
        <w:numPr>
          <w:ilvl w:val="0"/>
          <w:numId w:val="2"/>
        </w:numPr>
      </w:pPr>
      <w:r>
        <w:t>Ash content: 20-40%</w:t>
      </w:r>
    </w:p>
    <w:p w14:paraId="00738850" w14:textId="77777777" w:rsidR="00D37098" w:rsidRDefault="00000000">
      <w:pPr>
        <w:pStyle w:val="MdListItem"/>
        <w:numPr>
          <w:ilvl w:val="0"/>
          <w:numId w:val="2"/>
        </w:numPr>
      </w:pPr>
      <w:r>
        <w:t>Heavy metals and contaminants present</w:t>
      </w:r>
    </w:p>
    <w:p w14:paraId="6B412127" w14:textId="77777777" w:rsidR="00D37098" w:rsidRDefault="00000000">
      <w:pPr>
        <w:pStyle w:val="MdListItem"/>
        <w:numPr>
          <w:ilvl w:val="0"/>
          <w:numId w:val="2"/>
        </w:numPr>
      </w:pPr>
      <w:r>
        <w:t xml:space="preserve">Estimated tar content: 30-80 ppm (before </w:t>
      </w:r>
      <w:proofErr w:type="spellStart"/>
      <w:r>
        <w:t>SyngaPure</w:t>
      </w:r>
      <w:proofErr w:type="spellEnd"/>
      <w:r>
        <w:t>™)</w:t>
      </w:r>
    </w:p>
    <w:p w14:paraId="3CA1C8EF" w14:textId="77777777" w:rsidR="00D37098" w:rsidRDefault="00D37098">
      <w:pPr>
        <w:pStyle w:val="MdSpace"/>
        <w:spacing w:after="60"/>
      </w:pPr>
    </w:p>
    <w:p w14:paraId="25A65044" w14:textId="77777777" w:rsidR="00D37098" w:rsidRDefault="00000000">
      <w:pPr>
        <w:pStyle w:val="MdParagraph"/>
      </w:pPr>
      <w:r>
        <w:rPr>
          <w:rStyle w:val="MdStrong"/>
        </w:rPr>
        <w:lastRenderedPageBreak/>
        <w:t>Preparation Requirements:</w:t>
      </w:r>
    </w:p>
    <w:p w14:paraId="78621991" w14:textId="77777777" w:rsidR="00D37098" w:rsidRDefault="00000000">
      <w:pPr>
        <w:pStyle w:val="MdListItem"/>
        <w:numPr>
          <w:ilvl w:val="0"/>
          <w:numId w:val="2"/>
        </w:numPr>
      </w:pPr>
      <w:r>
        <w:t>Extensive drying (most energy-intensive feedstock)</w:t>
      </w:r>
    </w:p>
    <w:p w14:paraId="667BB9D9" w14:textId="77777777" w:rsidR="00D37098" w:rsidRDefault="00000000">
      <w:pPr>
        <w:pStyle w:val="MdListItem"/>
        <w:numPr>
          <w:ilvl w:val="0"/>
          <w:numId w:val="2"/>
        </w:numPr>
      </w:pPr>
      <w:r>
        <w:t>Careful ash handling (may contain heavy metals)</w:t>
      </w:r>
    </w:p>
    <w:p w14:paraId="3395A282" w14:textId="77777777" w:rsidR="00D37098" w:rsidRDefault="00000000">
      <w:pPr>
        <w:pStyle w:val="MdListItem"/>
        <w:numPr>
          <w:ilvl w:val="0"/>
          <w:numId w:val="2"/>
        </w:numPr>
      </w:pPr>
      <w:r>
        <w:t>Emissions monitoring for contaminants</w:t>
      </w:r>
    </w:p>
    <w:p w14:paraId="0E88258E" w14:textId="77777777" w:rsidR="00D37098" w:rsidRDefault="00D37098">
      <w:pPr>
        <w:pStyle w:val="MdSpace"/>
        <w:spacing w:after="60"/>
      </w:pPr>
    </w:p>
    <w:p w14:paraId="18156146" w14:textId="77777777" w:rsidR="00D37098" w:rsidRDefault="00000000">
      <w:pPr>
        <w:pStyle w:val="MdParagraph"/>
      </w:pPr>
      <w:r>
        <w:rPr>
          <w:rStyle w:val="MdStrong"/>
        </w:rPr>
        <w:t>Applications:</w:t>
      </w:r>
    </w:p>
    <w:p w14:paraId="0741861C" w14:textId="77777777" w:rsidR="00D37098" w:rsidRDefault="00000000">
      <w:pPr>
        <w:pStyle w:val="MdListItem"/>
        <w:numPr>
          <w:ilvl w:val="0"/>
          <w:numId w:val="2"/>
        </w:numPr>
      </w:pPr>
      <w:r>
        <w:t>VOLT: Wastewater treatment plant electricity</w:t>
      </w:r>
    </w:p>
    <w:p w14:paraId="77C2A52E" w14:textId="77777777" w:rsidR="00D37098" w:rsidRDefault="00000000">
      <w:pPr>
        <w:pStyle w:val="MdListItem"/>
        <w:numPr>
          <w:ilvl w:val="0"/>
          <w:numId w:val="2"/>
        </w:numPr>
      </w:pPr>
      <w:r>
        <w:t>HEAT: Sludge drying (using waste heat in closed loop)</w:t>
      </w:r>
    </w:p>
    <w:p w14:paraId="0147BAB8" w14:textId="77777777" w:rsidR="00D37098" w:rsidRDefault="00D37098">
      <w:pPr>
        <w:pStyle w:val="MdSpace"/>
        <w:spacing w:after="60"/>
      </w:pPr>
    </w:p>
    <w:p w14:paraId="37D2D2A0" w14:textId="77777777" w:rsidR="00D37098" w:rsidRDefault="00000000">
      <w:pPr>
        <w:pStyle w:val="MdParagraph"/>
      </w:pPr>
      <w:r>
        <w:rPr>
          <w:rStyle w:val="MdStrong"/>
        </w:rPr>
        <w:t>Economics:</w:t>
      </w:r>
      <w:r>
        <w:t xml:space="preserve"> Sewage sludge disposal costs are very high ($100-300/tonne in many markets) due to regulatory requirements. Energy recovery from sludge creates significant value, but high ash content and contaminants increase operational complexity.</w:t>
      </w:r>
    </w:p>
    <w:p w14:paraId="2DE71D4B" w14:textId="77777777" w:rsidR="00D37098" w:rsidRDefault="00D37098">
      <w:pPr>
        <w:pStyle w:val="MdSpace"/>
        <w:spacing w:after="60"/>
      </w:pPr>
    </w:p>
    <w:p w14:paraId="165B8B08" w14:textId="77777777" w:rsidR="00D37098" w:rsidRDefault="00000000">
      <w:pPr>
        <w:pStyle w:val="MdParagraph"/>
      </w:pPr>
      <w:r>
        <w:rPr>
          <w:rStyle w:val="MdStrong"/>
        </w:rPr>
        <w:t>Market Opportunity:</w:t>
      </w:r>
      <w:r>
        <w:t xml:space="preserve"> Global sewage sludge generation exceeds 45 million tonnes annually (dry basis). Regulatory pressure to eliminate landfilling and ocean dumping is driving interest in thermal treatment technologies.</w:t>
      </w:r>
    </w:p>
    <w:p w14:paraId="50F18201" w14:textId="77777777" w:rsidR="00D37098" w:rsidRDefault="00D37098">
      <w:pPr>
        <w:pStyle w:val="MdSpace"/>
        <w:spacing w:after="60"/>
      </w:pPr>
    </w:p>
    <w:p w14:paraId="5C1540DF" w14:textId="77777777" w:rsidR="00D37098" w:rsidRDefault="00000000">
      <w:pPr>
        <w:pStyle w:val="MdHeading3"/>
      </w:pPr>
      <w:r>
        <w:t>4.6 Feedstock Flexibility and Blending</w:t>
      </w:r>
    </w:p>
    <w:p w14:paraId="3666830E" w14:textId="77777777" w:rsidR="00D37098" w:rsidRDefault="00000000">
      <w:pPr>
        <w:pStyle w:val="MdParagraph"/>
      </w:pPr>
      <w:r>
        <w:t xml:space="preserve">The X-150 can process </w:t>
      </w:r>
      <w:r>
        <w:rPr>
          <w:rStyle w:val="MdStrong"/>
        </w:rPr>
        <w:t>blended feedstocks</w:t>
      </w:r>
      <w:r>
        <w:t xml:space="preserve"> to optimize performance and manage seasonal availability:</w:t>
      </w:r>
    </w:p>
    <w:p w14:paraId="15BE73F9" w14:textId="77777777" w:rsidR="00D37098" w:rsidRDefault="00D37098">
      <w:pPr>
        <w:pStyle w:val="MdSpace"/>
        <w:spacing w:after="60"/>
      </w:pPr>
    </w:p>
    <w:p w14:paraId="4673E0A9" w14:textId="77777777" w:rsidR="00D37098" w:rsidRDefault="00000000">
      <w:pPr>
        <w:pStyle w:val="MdParagraph"/>
      </w:pPr>
      <w:r>
        <w:rPr>
          <w:rStyle w:val="MdStrong"/>
        </w:rPr>
        <w:t>Benefits of Blending:</w:t>
      </w:r>
    </w:p>
    <w:p w14:paraId="667E9EFD" w14:textId="77777777" w:rsidR="00D37098" w:rsidRDefault="00000000">
      <w:pPr>
        <w:pStyle w:val="MdListItem"/>
        <w:numPr>
          <w:ilvl w:val="0"/>
          <w:numId w:val="2"/>
        </w:numPr>
      </w:pPr>
      <w:r>
        <w:rPr>
          <w:rStyle w:val="MdStrong"/>
        </w:rPr>
        <w:t>Moisture Management:</w:t>
      </w:r>
      <w:r>
        <w:t xml:space="preserve"> Blend wet feedstocks (BSG, sewage sludge) with dry feedstocks (wood, straw) to achieve target moisture content without extensive drying</w:t>
      </w:r>
    </w:p>
    <w:p w14:paraId="22A649D2" w14:textId="77777777" w:rsidR="00D37098" w:rsidRDefault="00000000">
      <w:pPr>
        <w:pStyle w:val="MdListItem"/>
        <w:numPr>
          <w:ilvl w:val="0"/>
          <w:numId w:val="2"/>
        </w:numPr>
      </w:pPr>
      <w:r>
        <w:rPr>
          <w:rStyle w:val="MdStrong"/>
        </w:rPr>
        <w:t>Chlorine Dilution:</w:t>
      </w:r>
      <w:r>
        <w:t xml:space="preserve"> Blend high-chlorine feedstocks (straw) with low-chlorine feedstocks (wood) to reduce corrosion risk</w:t>
      </w:r>
    </w:p>
    <w:p w14:paraId="606AC512" w14:textId="77777777" w:rsidR="00D37098" w:rsidRDefault="00000000">
      <w:pPr>
        <w:pStyle w:val="MdListItem"/>
        <w:numPr>
          <w:ilvl w:val="0"/>
          <w:numId w:val="2"/>
        </w:numPr>
      </w:pPr>
      <w:r>
        <w:rPr>
          <w:rStyle w:val="MdStrong"/>
        </w:rPr>
        <w:t>Ash Management:</w:t>
      </w:r>
      <w:r>
        <w:t xml:space="preserve"> Blend high-ash feedstocks (MSW, sludge) with low-ash feedstocks (wood) to reduce ash handling requirements</w:t>
      </w:r>
    </w:p>
    <w:p w14:paraId="7B171DD3" w14:textId="77777777" w:rsidR="00D37098" w:rsidRDefault="00000000">
      <w:pPr>
        <w:pStyle w:val="MdListItem"/>
        <w:numPr>
          <w:ilvl w:val="0"/>
          <w:numId w:val="2"/>
        </w:numPr>
      </w:pPr>
      <w:r>
        <w:rPr>
          <w:rStyle w:val="MdStrong"/>
        </w:rPr>
        <w:t>Seasonal Availability:</w:t>
      </w:r>
      <w:r>
        <w:t xml:space="preserve"> Blend seasonally available agricultural waste with year-round waste streams (MSW, brewery waste) to maintain continuous operation</w:t>
      </w:r>
    </w:p>
    <w:p w14:paraId="40E02322" w14:textId="77777777" w:rsidR="00D37098" w:rsidRDefault="00D37098">
      <w:pPr>
        <w:pStyle w:val="MdSpace"/>
        <w:spacing w:after="60"/>
      </w:pPr>
    </w:p>
    <w:p w14:paraId="71B0B660" w14:textId="77777777" w:rsidR="00D37098" w:rsidRDefault="00000000">
      <w:pPr>
        <w:pStyle w:val="MdParagraph"/>
      </w:pPr>
      <w:r>
        <w:rPr>
          <w:rStyle w:val="MdStrong"/>
        </w:rPr>
        <w:t>Operational Considerations:</w:t>
      </w:r>
      <w:r>
        <w:t xml:space="preserve"> Feedstock blending requires careful monitoring and process control to maintain stable gasifier operation. Rapid feedstock changes can destabilize the gasification process.</w:t>
      </w:r>
    </w:p>
    <w:p w14:paraId="235177B7" w14:textId="77777777" w:rsidR="00D37098" w:rsidRDefault="00D37098">
      <w:pPr>
        <w:pStyle w:val="MdSpace"/>
        <w:spacing w:after="60"/>
      </w:pPr>
    </w:p>
    <w:p w14:paraId="076A5E42" w14:textId="77777777" w:rsidR="00D37098" w:rsidRDefault="00D37098">
      <w:pPr>
        <w:pStyle w:val="MdHr"/>
        <w:pBdr>
          <w:bottom w:val="single" w:sz="6" w:space="1" w:color="auto"/>
        </w:pBdr>
      </w:pPr>
    </w:p>
    <w:p w14:paraId="16AEB4FD" w14:textId="77777777" w:rsidR="00D37098" w:rsidRDefault="00D37098">
      <w:pPr>
        <w:pStyle w:val="MdSpace"/>
        <w:spacing w:after="60"/>
      </w:pPr>
    </w:p>
    <w:p w14:paraId="47620B6D" w14:textId="77777777" w:rsidR="00D37098" w:rsidRDefault="00000000">
      <w:pPr>
        <w:pStyle w:val="MdHeading2"/>
      </w:pPr>
      <w:r>
        <w:t>5. Business Model &amp; Applications</w:t>
      </w:r>
    </w:p>
    <w:p w14:paraId="175D334F" w14:textId="77777777" w:rsidR="00D37098" w:rsidRDefault="00000000">
      <w:pPr>
        <w:pStyle w:val="MdParagraph"/>
      </w:pPr>
      <w:r>
        <w:t>The X-150 enables multiple business models depending on customer needs, risk tolerance, and capital availability.</w:t>
      </w:r>
    </w:p>
    <w:p w14:paraId="6D8627F3" w14:textId="77777777" w:rsidR="00D37098" w:rsidRDefault="00D37098">
      <w:pPr>
        <w:pStyle w:val="MdSpace"/>
        <w:spacing w:after="60"/>
      </w:pPr>
    </w:p>
    <w:p w14:paraId="4EB795B4" w14:textId="77777777" w:rsidR="00D37098" w:rsidRDefault="00000000">
      <w:pPr>
        <w:pStyle w:val="MdHeading3"/>
      </w:pPr>
      <w:r>
        <w:lastRenderedPageBreak/>
        <w:t>5.1 Equipment Sales (Turnkey Projects)</w:t>
      </w:r>
    </w:p>
    <w:p w14:paraId="73F7011D" w14:textId="77777777" w:rsidR="00D37098" w:rsidRDefault="00000000">
      <w:pPr>
        <w:pStyle w:val="MdParagraph"/>
      </w:pPr>
      <w:r>
        <w:rPr>
          <w:rStyle w:val="MdStrong"/>
        </w:rPr>
        <w:t>Model:</w:t>
      </w:r>
      <w:r>
        <w:t xml:space="preserve"> Zero-X and MFC deliver a complete, operational X-150 system to the customer for a fixed price.</w:t>
      </w:r>
    </w:p>
    <w:p w14:paraId="65F2B6DC" w14:textId="77777777" w:rsidR="00D37098" w:rsidRDefault="00D37098">
      <w:pPr>
        <w:pStyle w:val="MdSpace"/>
        <w:spacing w:after="60"/>
      </w:pPr>
    </w:p>
    <w:p w14:paraId="2B5E038B" w14:textId="77777777" w:rsidR="00D37098" w:rsidRDefault="00000000">
      <w:pPr>
        <w:pStyle w:val="MdParagraph"/>
      </w:pPr>
      <w:r>
        <w:rPr>
          <w:rStyle w:val="MdStrong"/>
        </w:rPr>
        <w:t>Customer Profile:</w:t>
      </w:r>
    </w:p>
    <w:p w14:paraId="50BABB5E" w14:textId="77777777" w:rsidR="00D37098" w:rsidRDefault="00000000">
      <w:pPr>
        <w:pStyle w:val="MdListItem"/>
        <w:numPr>
          <w:ilvl w:val="0"/>
          <w:numId w:val="2"/>
        </w:numPr>
      </w:pPr>
      <w:r>
        <w:t>Organizations with capital budget and technical staff</w:t>
      </w:r>
    </w:p>
    <w:p w14:paraId="26B2F71E" w14:textId="77777777" w:rsidR="00D37098" w:rsidRDefault="00000000">
      <w:pPr>
        <w:pStyle w:val="MdListItem"/>
        <w:numPr>
          <w:ilvl w:val="0"/>
          <w:numId w:val="2"/>
        </w:numPr>
      </w:pPr>
      <w:r>
        <w:t>Waste generators seeking energy independence</w:t>
      </w:r>
    </w:p>
    <w:p w14:paraId="3ABEF7F1" w14:textId="77777777" w:rsidR="00D37098" w:rsidRDefault="00000000">
      <w:pPr>
        <w:pStyle w:val="MdListItem"/>
        <w:numPr>
          <w:ilvl w:val="0"/>
          <w:numId w:val="2"/>
        </w:numPr>
      </w:pPr>
      <w:r>
        <w:t>Industrial facilities with waste disposal costs and energy demand</w:t>
      </w:r>
    </w:p>
    <w:p w14:paraId="4B3A9B50" w14:textId="77777777" w:rsidR="00D37098" w:rsidRDefault="00D37098">
      <w:pPr>
        <w:pStyle w:val="MdSpace"/>
        <w:spacing w:after="60"/>
      </w:pPr>
    </w:p>
    <w:p w14:paraId="22651FD6" w14:textId="77777777" w:rsidR="00D37098" w:rsidRDefault="00000000">
      <w:pPr>
        <w:pStyle w:val="MdParagraph"/>
      </w:pPr>
      <w:r>
        <w:rPr>
          <w:rStyle w:val="MdStrong"/>
        </w:rPr>
        <w:t>Revenue Structure:</w:t>
      </w:r>
    </w:p>
    <w:p w14:paraId="1C830B11" w14:textId="77777777" w:rsidR="00D37098" w:rsidRDefault="00000000">
      <w:pPr>
        <w:pStyle w:val="MdListItem"/>
        <w:numPr>
          <w:ilvl w:val="0"/>
          <w:numId w:val="2"/>
        </w:numPr>
      </w:pPr>
      <w:r>
        <w:rPr>
          <w:rStyle w:val="MdStrong"/>
        </w:rPr>
        <w:t>Upfront Payment:</w:t>
      </w:r>
      <w:r>
        <w:t xml:space="preserve"> $3.3-5.0M for 100 tonne/day facility (single X-150 unit)</w:t>
      </w:r>
    </w:p>
    <w:p w14:paraId="6A4C5919" w14:textId="77777777" w:rsidR="00D37098" w:rsidRDefault="00000000">
      <w:pPr>
        <w:pStyle w:val="MdListItem"/>
        <w:numPr>
          <w:ilvl w:val="0"/>
          <w:numId w:val="2"/>
        </w:numPr>
      </w:pPr>
      <w:r>
        <w:rPr>
          <w:rStyle w:val="MdStrong"/>
        </w:rPr>
        <w:t>Optional:</w:t>
      </w:r>
      <w:r>
        <w:t xml:space="preserve"> Engineering, procurement, and construction (EPC) contract with performance guarantees</w:t>
      </w:r>
    </w:p>
    <w:p w14:paraId="0E0310B1" w14:textId="77777777" w:rsidR="00D37098" w:rsidRDefault="00000000">
      <w:pPr>
        <w:pStyle w:val="MdListItem"/>
        <w:numPr>
          <w:ilvl w:val="0"/>
          <w:numId w:val="2"/>
        </w:numPr>
      </w:pPr>
      <w:r>
        <w:rPr>
          <w:rStyle w:val="MdStrong"/>
        </w:rPr>
        <w:t>Optional:</w:t>
      </w:r>
      <w:r>
        <w:t xml:space="preserve"> Operations and maintenance (O&amp;M) service contract</w:t>
      </w:r>
    </w:p>
    <w:p w14:paraId="26A40C67" w14:textId="77777777" w:rsidR="00D37098" w:rsidRDefault="00D37098">
      <w:pPr>
        <w:pStyle w:val="MdSpace"/>
        <w:spacing w:after="60"/>
      </w:pPr>
    </w:p>
    <w:p w14:paraId="7E7C846F" w14:textId="77777777" w:rsidR="00D37098" w:rsidRDefault="00000000">
      <w:pPr>
        <w:pStyle w:val="MdParagraph"/>
      </w:pPr>
      <w:r>
        <w:rPr>
          <w:rStyle w:val="MdStrong"/>
        </w:rPr>
        <w:t>Advantages:</w:t>
      </w:r>
    </w:p>
    <w:p w14:paraId="09F19F4C" w14:textId="77777777" w:rsidR="00D37098" w:rsidRDefault="00000000">
      <w:pPr>
        <w:pStyle w:val="MdListItem"/>
        <w:numPr>
          <w:ilvl w:val="0"/>
          <w:numId w:val="2"/>
        </w:numPr>
      </w:pPr>
      <w:r>
        <w:t>Immediate revenue recognition</w:t>
      </w:r>
    </w:p>
    <w:p w14:paraId="1578DB96" w14:textId="77777777" w:rsidR="00D37098" w:rsidRDefault="00000000">
      <w:pPr>
        <w:pStyle w:val="MdListItem"/>
        <w:numPr>
          <w:ilvl w:val="0"/>
          <w:numId w:val="2"/>
        </w:numPr>
      </w:pPr>
      <w:r>
        <w:t>Limited long-term operational risk</w:t>
      </w:r>
    </w:p>
    <w:p w14:paraId="588CCD14" w14:textId="77777777" w:rsidR="00D37098" w:rsidRDefault="00000000">
      <w:pPr>
        <w:pStyle w:val="MdListItem"/>
        <w:numPr>
          <w:ilvl w:val="0"/>
          <w:numId w:val="2"/>
        </w:numPr>
      </w:pPr>
      <w:r>
        <w:t>Scalable business model (multiple projects in parallel)</w:t>
      </w:r>
    </w:p>
    <w:p w14:paraId="2CA44BF6" w14:textId="77777777" w:rsidR="00D37098" w:rsidRDefault="00D37098">
      <w:pPr>
        <w:pStyle w:val="MdSpace"/>
        <w:spacing w:after="60"/>
      </w:pPr>
    </w:p>
    <w:p w14:paraId="3602F216" w14:textId="77777777" w:rsidR="00D37098" w:rsidRDefault="00000000">
      <w:pPr>
        <w:pStyle w:val="MdParagraph"/>
      </w:pPr>
      <w:r>
        <w:rPr>
          <w:rStyle w:val="MdStrong"/>
        </w:rPr>
        <w:t>Disadvantages:</w:t>
      </w:r>
    </w:p>
    <w:p w14:paraId="2A0E080A" w14:textId="77777777" w:rsidR="00D37098" w:rsidRDefault="00000000">
      <w:pPr>
        <w:pStyle w:val="MdListItem"/>
        <w:numPr>
          <w:ilvl w:val="0"/>
          <w:numId w:val="2"/>
        </w:numPr>
      </w:pPr>
      <w:r>
        <w:t>Requires customer capital availability</w:t>
      </w:r>
    </w:p>
    <w:p w14:paraId="77573D7F" w14:textId="77777777" w:rsidR="00D37098" w:rsidRDefault="00000000">
      <w:pPr>
        <w:pStyle w:val="MdListItem"/>
        <w:numPr>
          <w:ilvl w:val="0"/>
          <w:numId w:val="2"/>
        </w:numPr>
      </w:pPr>
      <w:r>
        <w:t>Customer assumes operational risk</w:t>
      </w:r>
    </w:p>
    <w:p w14:paraId="68DF377B" w14:textId="77777777" w:rsidR="00D37098" w:rsidRDefault="00000000">
      <w:pPr>
        <w:pStyle w:val="MdListItem"/>
        <w:numPr>
          <w:ilvl w:val="0"/>
          <w:numId w:val="2"/>
        </w:numPr>
      </w:pPr>
      <w:r>
        <w:t>Limited recurring revenue</w:t>
      </w:r>
    </w:p>
    <w:p w14:paraId="56605DBF" w14:textId="77777777" w:rsidR="00D37098" w:rsidRDefault="00D37098">
      <w:pPr>
        <w:pStyle w:val="MdSpace"/>
        <w:spacing w:after="60"/>
      </w:pPr>
    </w:p>
    <w:p w14:paraId="49F95016" w14:textId="77777777" w:rsidR="00D37098" w:rsidRDefault="00000000">
      <w:pPr>
        <w:pStyle w:val="MdHeading3"/>
      </w:pPr>
      <w:r>
        <w:t>5.2 Build-Own-Operate (BOO) Model</w:t>
      </w:r>
    </w:p>
    <w:p w14:paraId="7C8244D0" w14:textId="77777777" w:rsidR="00D37098" w:rsidRDefault="00000000">
      <w:pPr>
        <w:pStyle w:val="MdParagraph"/>
      </w:pPr>
      <w:r>
        <w:rPr>
          <w:rStyle w:val="MdStrong"/>
        </w:rPr>
        <w:t>Model:</w:t>
      </w:r>
      <w:r>
        <w:t xml:space="preserve"> Zero-X (or a project company) builds, owns, and operates the X-150 facility, selling energy and waste disposal services to customers.</w:t>
      </w:r>
    </w:p>
    <w:p w14:paraId="2C96E430" w14:textId="77777777" w:rsidR="00D37098" w:rsidRDefault="00D37098">
      <w:pPr>
        <w:pStyle w:val="MdSpace"/>
        <w:spacing w:after="60"/>
      </w:pPr>
    </w:p>
    <w:p w14:paraId="33BCCC65" w14:textId="77777777" w:rsidR="00D37098" w:rsidRDefault="00000000">
      <w:pPr>
        <w:pStyle w:val="MdParagraph"/>
      </w:pPr>
      <w:r>
        <w:rPr>
          <w:rStyle w:val="MdStrong"/>
        </w:rPr>
        <w:t>Customer Profile:</w:t>
      </w:r>
    </w:p>
    <w:p w14:paraId="6CFA190D" w14:textId="77777777" w:rsidR="00D37098" w:rsidRDefault="00000000">
      <w:pPr>
        <w:pStyle w:val="MdListItem"/>
        <w:numPr>
          <w:ilvl w:val="0"/>
          <w:numId w:val="2"/>
        </w:numPr>
      </w:pPr>
      <w:r>
        <w:t>Organizations without capital budget or technical expertise</w:t>
      </w:r>
    </w:p>
    <w:p w14:paraId="51A00A2C" w14:textId="77777777" w:rsidR="00D37098" w:rsidRDefault="00000000">
      <w:pPr>
        <w:pStyle w:val="MdListItem"/>
        <w:numPr>
          <w:ilvl w:val="0"/>
          <w:numId w:val="2"/>
        </w:numPr>
      </w:pPr>
      <w:r>
        <w:t>Waste generators seeking zero-</w:t>
      </w:r>
      <w:proofErr w:type="spellStart"/>
      <w:r>
        <w:t>CapEx</w:t>
      </w:r>
      <w:proofErr w:type="spellEnd"/>
      <w:r>
        <w:t xml:space="preserve"> solutions</w:t>
      </w:r>
    </w:p>
    <w:p w14:paraId="03B31CF8" w14:textId="77777777" w:rsidR="00D37098" w:rsidRDefault="00000000">
      <w:pPr>
        <w:pStyle w:val="MdListItem"/>
        <w:numPr>
          <w:ilvl w:val="0"/>
          <w:numId w:val="2"/>
        </w:numPr>
      </w:pPr>
      <w:r>
        <w:t>Facilities wanting guaranteed performance without operational risk</w:t>
      </w:r>
    </w:p>
    <w:p w14:paraId="096B078D" w14:textId="77777777" w:rsidR="00D37098" w:rsidRDefault="00D37098">
      <w:pPr>
        <w:pStyle w:val="MdSpace"/>
        <w:spacing w:after="60"/>
      </w:pPr>
    </w:p>
    <w:p w14:paraId="6A0D5B33" w14:textId="77777777" w:rsidR="00D37098" w:rsidRDefault="00000000">
      <w:pPr>
        <w:pStyle w:val="MdParagraph"/>
      </w:pPr>
      <w:r>
        <w:rPr>
          <w:rStyle w:val="MdStrong"/>
        </w:rPr>
        <w:t>Revenue Structure:</w:t>
      </w:r>
    </w:p>
    <w:p w14:paraId="1D70AF76" w14:textId="77777777" w:rsidR="00D37098" w:rsidRDefault="00000000">
      <w:pPr>
        <w:pStyle w:val="MdListItem"/>
        <w:numPr>
          <w:ilvl w:val="0"/>
          <w:numId w:val="2"/>
        </w:numPr>
      </w:pPr>
      <w:r>
        <w:rPr>
          <w:rStyle w:val="MdStrong"/>
        </w:rPr>
        <w:t>Tipping Fees:</w:t>
      </w:r>
      <w:r>
        <w:t xml:space="preserve"> $50-150/tonne of waste processed</w:t>
      </w:r>
    </w:p>
    <w:p w14:paraId="070805FB" w14:textId="77777777" w:rsidR="00D37098" w:rsidRDefault="00000000">
      <w:pPr>
        <w:pStyle w:val="MdListItem"/>
        <w:numPr>
          <w:ilvl w:val="0"/>
          <w:numId w:val="2"/>
        </w:numPr>
      </w:pPr>
      <w:r>
        <w:rPr>
          <w:rStyle w:val="MdStrong"/>
        </w:rPr>
        <w:t>Energy Sales:</w:t>
      </w:r>
      <w:r>
        <w:t xml:space="preserve"> Electricity, heat, cooling, hydrogen, SAF, or RNG sold at market rates</w:t>
      </w:r>
    </w:p>
    <w:p w14:paraId="59DA25EE" w14:textId="77777777" w:rsidR="00D37098" w:rsidRDefault="00000000">
      <w:pPr>
        <w:pStyle w:val="MdListItem"/>
        <w:numPr>
          <w:ilvl w:val="0"/>
          <w:numId w:val="2"/>
        </w:numPr>
      </w:pPr>
      <w:r>
        <w:rPr>
          <w:rStyle w:val="MdStrong"/>
        </w:rPr>
        <w:t>Carbon Credits:</w:t>
      </w:r>
      <w:r>
        <w:t xml:space="preserve"> $20-100/tonne </w:t>
      </w:r>
      <w:proofErr w:type="spellStart"/>
      <w:r>
        <w:t>CO₂eq</w:t>
      </w:r>
      <w:proofErr w:type="spellEnd"/>
      <w:r>
        <w:t xml:space="preserve"> avoided</w:t>
      </w:r>
    </w:p>
    <w:p w14:paraId="20EDFAB2" w14:textId="77777777" w:rsidR="00D37098" w:rsidRDefault="00000000">
      <w:pPr>
        <w:pStyle w:val="MdListItem"/>
        <w:numPr>
          <w:ilvl w:val="0"/>
          <w:numId w:val="2"/>
        </w:numPr>
      </w:pPr>
      <w:r>
        <w:rPr>
          <w:rStyle w:val="MdStrong"/>
        </w:rPr>
        <w:t>Biochar Sales:</w:t>
      </w:r>
      <w:r>
        <w:t xml:space="preserve"> $200-500/tonne (agricultural soil amendment)</w:t>
      </w:r>
    </w:p>
    <w:p w14:paraId="64B75355" w14:textId="77777777" w:rsidR="00D37098" w:rsidRDefault="00D37098">
      <w:pPr>
        <w:pStyle w:val="MdSpace"/>
        <w:spacing w:after="60"/>
      </w:pPr>
    </w:p>
    <w:p w14:paraId="6804C775" w14:textId="77777777" w:rsidR="00D37098" w:rsidRDefault="00000000">
      <w:pPr>
        <w:pStyle w:val="MdParagraph"/>
      </w:pPr>
      <w:r>
        <w:rPr>
          <w:rStyle w:val="MdStrong"/>
        </w:rPr>
        <w:t>Advantages:</w:t>
      </w:r>
    </w:p>
    <w:p w14:paraId="1A64BCB5" w14:textId="77777777" w:rsidR="00D37098" w:rsidRDefault="00000000">
      <w:pPr>
        <w:pStyle w:val="MdListItem"/>
        <w:numPr>
          <w:ilvl w:val="0"/>
          <w:numId w:val="2"/>
        </w:numPr>
      </w:pPr>
      <w:r>
        <w:lastRenderedPageBreak/>
        <w:t>Recurring revenue streams over 15-20 year facility life</w:t>
      </w:r>
    </w:p>
    <w:p w14:paraId="25A82021" w14:textId="77777777" w:rsidR="00D37098" w:rsidRDefault="00000000">
      <w:pPr>
        <w:pStyle w:val="MdListItem"/>
        <w:numPr>
          <w:ilvl w:val="0"/>
          <w:numId w:val="2"/>
        </w:numPr>
      </w:pPr>
      <w:r>
        <w:t>Higher total revenue potential than equipment sales</w:t>
      </w:r>
    </w:p>
    <w:p w14:paraId="3DE56A8E" w14:textId="77777777" w:rsidR="00D37098" w:rsidRDefault="00000000">
      <w:pPr>
        <w:pStyle w:val="MdListItem"/>
        <w:numPr>
          <w:ilvl w:val="0"/>
          <w:numId w:val="2"/>
        </w:numPr>
      </w:pPr>
      <w:r>
        <w:t>Captures value from carbon credits and environmental benefits</w:t>
      </w:r>
    </w:p>
    <w:p w14:paraId="253597E3" w14:textId="77777777" w:rsidR="00D37098" w:rsidRDefault="00D37098">
      <w:pPr>
        <w:pStyle w:val="MdSpace"/>
        <w:spacing w:after="60"/>
      </w:pPr>
    </w:p>
    <w:p w14:paraId="1410B230" w14:textId="77777777" w:rsidR="00D37098" w:rsidRDefault="00000000">
      <w:pPr>
        <w:pStyle w:val="MdParagraph"/>
      </w:pPr>
      <w:r>
        <w:rPr>
          <w:rStyle w:val="MdStrong"/>
        </w:rPr>
        <w:t>Disadvantages:</w:t>
      </w:r>
    </w:p>
    <w:p w14:paraId="5F90A34B" w14:textId="77777777" w:rsidR="00D37098" w:rsidRDefault="00000000">
      <w:pPr>
        <w:pStyle w:val="MdListItem"/>
        <w:numPr>
          <w:ilvl w:val="0"/>
          <w:numId w:val="2"/>
        </w:numPr>
      </w:pPr>
      <w:r>
        <w:t>High upfront capital requirement</w:t>
      </w:r>
    </w:p>
    <w:p w14:paraId="4AD55581" w14:textId="77777777" w:rsidR="00D37098" w:rsidRDefault="00000000">
      <w:pPr>
        <w:pStyle w:val="MdListItem"/>
        <w:numPr>
          <w:ilvl w:val="0"/>
          <w:numId w:val="2"/>
        </w:numPr>
      </w:pPr>
      <w:r>
        <w:t>Long-term operational and performance risk</w:t>
      </w:r>
    </w:p>
    <w:p w14:paraId="753E06DC" w14:textId="77777777" w:rsidR="00D37098" w:rsidRDefault="00000000">
      <w:pPr>
        <w:pStyle w:val="MdListItem"/>
        <w:numPr>
          <w:ilvl w:val="0"/>
          <w:numId w:val="2"/>
        </w:numPr>
      </w:pPr>
      <w:r>
        <w:t>Requires project finance expertise</w:t>
      </w:r>
    </w:p>
    <w:p w14:paraId="679A0D52" w14:textId="77777777" w:rsidR="00D37098" w:rsidRDefault="00000000">
      <w:pPr>
        <w:pStyle w:val="MdListItem"/>
        <w:numPr>
          <w:ilvl w:val="0"/>
          <w:numId w:val="2"/>
        </w:numPr>
      </w:pPr>
      <w:r>
        <w:t>Slower revenue recognition</w:t>
      </w:r>
    </w:p>
    <w:p w14:paraId="1BFDF61B" w14:textId="77777777" w:rsidR="00D37098" w:rsidRDefault="00D37098">
      <w:pPr>
        <w:pStyle w:val="MdSpace"/>
        <w:spacing w:after="60"/>
      </w:pPr>
    </w:p>
    <w:p w14:paraId="78D73230" w14:textId="77777777" w:rsidR="00D37098" w:rsidRDefault="00000000">
      <w:pPr>
        <w:pStyle w:val="MdParagraph"/>
      </w:pPr>
      <w:r>
        <w:rPr>
          <w:rStyle w:val="MdStrong"/>
        </w:rPr>
        <w:t>Financial Performance (100 tonne/day facility):</w:t>
      </w:r>
    </w:p>
    <w:p w14:paraId="72AD471B" w14:textId="77777777" w:rsidR="00D37098" w:rsidRDefault="00000000">
      <w:pPr>
        <w:pStyle w:val="MdListItem"/>
        <w:numPr>
          <w:ilvl w:val="0"/>
          <w:numId w:val="2"/>
        </w:numPr>
      </w:pPr>
      <w:r>
        <w:rPr>
          <w:rStyle w:val="MdStrong"/>
        </w:rPr>
        <w:t>Annual Revenue:</w:t>
      </w:r>
      <w:r>
        <w:t xml:space="preserve"> $7.9M (2025) → $10.7M (2035) with carbon credit growth</w:t>
      </w:r>
    </w:p>
    <w:p w14:paraId="7C8DD7C2" w14:textId="77777777" w:rsidR="00D37098" w:rsidRDefault="00000000">
      <w:pPr>
        <w:pStyle w:val="MdListItem"/>
        <w:numPr>
          <w:ilvl w:val="0"/>
          <w:numId w:val="2"/>
        </w:numPr>
      </w:pPr>
      <w:r>
        <w:rPr>
          <w:rStyle w:val="MdStrong"/>
        </w:rPr>
        <w:t>Annual EBITDA:</w:t>
      </w:r>
      <w:r>
        <w:t xml:space="preserve"> $6.5M (83% margin)</w:t>
      </w:r>
    </w:p>
    <w:p w14:paraId="689B1E8B" w14:textId="77777777" w:rsidR="00D37098" w:rsidRDefault="00000000">
      <w:pPr>
        <w:pStyle w:val="MdListItem"/>
        <w:numPr>
          <w:ilvl w:val="0"/>
          <w:numId w:val="2"/>
        </w:numPr>
      </w:pPr>
      <w:r>
        <w:rPr>
          <w:rStyle w:val="MdStrong"/>
        </w:rPr>
        <w:t>Payback Period:</w:t>
      </w:r>
      <w:r>
        <w:t xml:space="preserve"> 1.1 years</w:t>
      </w:r>
    </w:p>
    <w:p w14:paraId="21EF9815" w14:textId="77777777" w:rsidR="00D37098" w:rsidRDefault="00000000">
      <w:pPr>
        <w:pStyle w:val="MdListItem"/>
        <w:numPr>
          <w:ilvl w:val="0"/>
          <w:numId w:val="2"/>
        </w:numPr>
      </w:pPr>
      <w:r>
        <w:rPr>
          <w:rStyle w:val="MdStrong"/>
        </w:rPr>
        <w:t>IRR:</w:t>
      </w:r>
      <w:r>
        <w:t xml:space="preserve"> 85%+</w:t>
      </w:r>
    </w:p>
    <w:p w14:paraId="7FAA3272" w14:textId="77777777" w:rsidR="00D37098" w:rsidRDefault="00D37098">
      <w:pPr>
        <w:pStyle w:val="MdSpace"/>
        <w:spacing w:after="60"/>
      </w:pPr>
    </w:p>
    <w:p w14:paraId="3F5E30EE" w14:textId="77777777" w:rsidR="00D37098" w:rsidRDefault="00000000">
      <w:pPr>
        <w:pStyle w:val="MdHeading3"/>
      </w:pPr>
      <w:r>
        <w:t>5.3 Technology Licensing</w:t>
      </w:r>
    </w:p>
    <w:p w14:paraId="1B87FB7F" w14:textId="77777777" w:rsidR="00D37098" w:rsidRDefault="00000000">
      <w:pPr>
        <w:pStyle w:val="MdParagraph"/>
      </w:pPr>
      <w:r>
        <w:rPr>
          <w:rStyle w:val="MdStrong"/>
        </w:rPr>
        <w:t>Model:</w:t>
      </w:r>
      <w:r>
        <w:t xml:space="preserve"> Zero-X licenses </w:t>
      </w:r>
      <w:proofErr w:type="spellStart"/>
      <w:r>
        <w:t>SyngaPure</w:t>
      </w:r>
      <w:proofErr w:type="spellEnd"/>
      <w:r>
        <w:t>™ catalyst technology to gasifier manufacturers, project developers, or waste management companies.</w:t>
      </w:r>
    </w:p>
    <w:p w14:paraId="4AC7F33B" w14:textId="77777777" w:rsidR="00D37098" w:rsidRDefault="00D37098">
      <w:pPr>
        <w:pStyle w:val="MdSpace"/>
        <w:spacing w:after="60"/>
      </w:pPr>
    </w:p>
    <w:p w14:paraId="73CAEBD5" w14:textId="77777777" w:rsidR="00D37098" w:rsidRDefault="00000000">
      <w:pPr>
        <w:pStyle w:val="MdParagraph"/>
      </w:pPr>
      <w:r>
        <w:rPr>
          <w:rStyle w:val="MdStrong"/>
        </w:rPr>
        <w:t>Customer Profile:</w:t>
      </w:r>
    </w:p>
    <w:p w14:paraId="4AC63C92" w14:textId="77777777" w:rsidR="00D37098" w:rsidRDefault="00000000">
      <w:pPr>
        <w:pStyle w:val="MdListItem"/>
        <w:numPr>
          <w:ilvl w:val="0"/>
          <w:numId w:val="2"/>
        </w:numPr>
      </w:pPr>
      <w:r>
        <w:t>Gasification equipment manufacturers (like MFC)</w:t>
      </w:r>
    </w:p>
    <w:p w14:paraId="320E7FFC" w14:textId="77777777" w:rsidR="00D37098" w:rsidRDefault="00000000">
      <w:pPr>
        <w:pStyle w:val="MdListItem"/>
        <w:numPr>
          <w:ilvl w:val="0"/>
          <w:numId w:val="2"/>
        </w:numPr>
      </w:pPr>
      <w:r>
        <w:t>Large waste-to-energy project developers</w:t>
      </w:r>
    </w:p>
    <w:p w14:paraId="7150C34E" w14:textId="77777777" w:rsidR="00D37098" w:rsidRDefault="00000000">
      <w:pPr>
        <w:pStyle w:val="MdListItem"/>
        <w:numPr>
          <w:ilvl w:val="0"/>
          <w:numId w:val="2"/>
        </w:numPr>
      </w:pPr>
      <w:r>
        <w:t>Companies with existing gasification assets seeking performance upgrades</w:t>
      </w:r>
    </w:p>
    <w:p w14:paraId="42618298" w14:textId="77777777" w:rsidR="00D37098" w:rsidRDefault="00D37098">
      <w:pPr>
        <w:pStyle w:val="MdSpace"/>
        <w:spacing w:after="60"/>
      </w:pPr>
    </w:p>
    <w:p w14:paraId="31DBD36B" w14:textId="77777777" w:rsidR="00D37098" w:rsidRDefault="00000000">
      <w:pPr>
        <w:pStyle w:val="MdParagraph"/>
      </w:pPr>
      <w:r>
        <w:rPr>
          <w:rStyle w:val="MdStrong"/>
        </w:rPr>
        <w:t>Revenue Structure:</w:t>
      </w:r>
    </w:p>
    <w:p w14:paraId="594A6D50" w14:textId="77777777" w:rsidR="00D37098" w:rsidRDefault="00000000">
      <w:pPr>
        <w:pStyle w:val="MdListItem"/>
        <w:numPr>
          <w:ilvl w:val="0"/>
          <w:numId w:val="2"/>
        </w:numPr>
      </w:pPr>
      <w:r>
        <w:rPr>
          <w:rStyle w:val="MdStrong"/>
        </w:rPr>
        <w:t>Upfront License Fee:</w:t>
      </w:r>
      <w:r>
        <w:t xml:space="preserve"> $0.5-2.0M per license (depending on exclusivity and territory)</w:t>
      </w:r>
    </w:p>
    <w:p w14:paraId="17506DCE" w14:textId="77777777" w:rsidR="00D37098" w:rsidRDefault="00000000">
      <w:pPr>
        <w:pStyle w:val="MdListItem"/>
        <w:numPr>
          <w:ilvl w:val="0"/>
          <w:numId w:val="2"/>
        </w:numPr>
      </w:pPr>
      <w:r>
        <w:rPr>
          <w:rStyle w:val="MdStrong"/>
        </w:rPr>
        <w:t>Per-Unit Royalty:</w:t>
      </w:r>
      <w:r>
        <w:t xml:space="preserve"> $50-200K per X-150 unit sold</w:t>
      </w:r>
    </w:p>
    <w:p w14:paraId="03914637" w14:textId="77777777" w:rsidR="00D37098" w:rsidRDefault="00000000">
      <w:pPr>
        <w:pStyle w:val="MdListItem"/>
        <w:numPr>
          <w:ilvl w:val="0"/>
          <w:numId w:val="2"/>
        </w:numPr>
      </w:pPr>
      <w:r>
        <w:rPr>
          <w:rStyle w:val="MdStrong"/>
        </w:rPr>
        <w:t>Catalyst Supply:</w:t>
      </w:r>
      <w:r>
        <w:t xml:space="preserve"> Ongoing revenue from catalyst manufacturing and replacement</w:t>
      </w:r>
    </w:p>
    <w:p w14:paraId="773F5F4E" w14:textId="77777777" w:rsidR="00D37098" w:rsidRDefault="00D37098">
      <w:pPr>
        <w:pStyle w:val="MdSpace"/>
        <w:spacing w:after="60"/>
      </w:pPr>
    </w:p>
    <w:p w14:paraId="55381D6F" w14:textId="77777777" w:rsidR="00D37098" w:rsidRDefault="00000000">
      <w:pPr>
        <w:pStyle w:val="MdParagraph"/>
      </w:pPr>
      <w:r>
        <w:rPr>
          <w:rStyle w:val="MdStrong"/>
        </w:rPr>
        <w:t>Advantages:</w:t>
      </w:r>
    </w:p>
    <w:p w14:paraId="64CE0CF4" w14:textId="77777777" w:rsidR="00D37098" w:rsidRDefault="00000000">
      <w:pPr>
        <w:pStyle w:val="MdListItem"/>
        <w:numPr>
          <w:ilvl w:val="0"/>
          <w:numId w:val="2"/>
        </w:numPr>
      </w:pPr>
      <w:r>
        <w:t>Low capital requirement</w:t>
      </w:r>
    </w:p>
    <w:p w14:paraId="4FD3E07B" w14:textId="77777777" w:rsidR="00D37098" w:rsidRDefault="00000000">
      <w:pPr>
        <w:pStyle w:val="MdListItem"/>
        <w:numPr>
          <w:ilvl w:val="0"/>
          <w:numId w:val="2"/>
        </w:numPr>
      </w:pPr>
      <w:r>
        <w:t>Highly scalable (leverage partners' sales channels)</w:t>
      </w:r>
    </w:p>
    <w:p w14:paraId="0E57A17C" w14:textId="77777777" w:rsidR="00D37098" w:rsidRDefault="00000000">
      <w:pPr>
        <w:pStyle w:val="MdListItem"/>
        <w:numPr>
          <w:ilvl w:val="0"/>
          <w:numId w:val="2"/>
        </w:numPr>
      </w:pPr>
      <w:r>
        <w:t>Recurring revenue from catalyst supply</w:t>
      </w:r>
    </w:p>
    <w:p w14:paraId="52DABA82" w14:textId="77777777" w:rsidR="00D37098" w:rsidRDefault="00D37098">
      <w:pPr>
        <w:pStyle w:val="MdSpace"/>
        <w:spacing w:after="60"/>
      </w:pPr>
    </w:p>
    <w:p w14:paraId="2C31EA5D" w14:textId="77777777" w:rsidR="00D37098" w:rsidRDefault="00000000">
      <w:pPr>
        <w:pStyle w:val="MdParagraph"/>
      </w:pPr>
      <w:r>
        <w:rPr>
          <w:rStyle w:val="MdStrong"/>
        </w:rPr>
        <w:t>Disadvantages:</w:t>
      </w:r>
    </w:p>
    <w:p w14:paraId="11F8C329" w14:textId="77777777" w:rsidR="00D37098" w:rsidRDefault="00000000">
      <w:pPr>
        <w:pStyle w:val="MdListItem"/>
        <w:numPr>
          <w:ilvl w:val="0"/>
          <w:numId w:val="2"/>
        </w:numPr>
      </w:pPr>
      <w:r>
        <w:t>Requires strong IP protection (patents)</w:t>
      </w:r>
    </w:p>
    <w:p w14:paraId="0F63B96A" w14:textId="77777777" w:rsidR="00D37098" w:rsidRDefault="00000000">
      <w:pPr>
        <w:pStyle w:val="MdListItem"/>
        <w:numPr>
          <w:ilvl w:val="0"/>
          <w:numId w:val="2"/>
        </w:numPr>
      </w:pPr>
      <w:r>
        <w:t>Dependent on partner sales success</w:t>
      </w:r>
    </w:p>
    <w:p w14:paraId="7FCCCFDA" w14:textId="77777777" w:rsidR="00D37098" w:rsidRDefault="00000000">
      <w:pPr>
        <w:pStyle w:val="MdListItem"/>
        <w:numPr>
          <w:ilvl w:val="0"/>
          <w:numId w:val="2"/>
        </w:numPr>
      </w:pPr>
      <w:r>
        <w:t>Lower revenue per unit than direct sales or BOO</w:t>
      </w:r>
    </w:p>
    <w:p w14:paraId="6F4ECECF" w14:textId="77777777" w:rsidR="00D37098" w:rsidRDefault="00D37098">
      <w:pPr>
        <w:pStyle w:val="MdSpace"/>
        <w:spacing w:after="60"/>
      </w:pPr>
    </w:p>
    <w:p w14:paraId="3D60DBB4" w14:textId="77777777" w:rsidR="00D37098" w:rsidRDefault="00000000">
      <w:pPr>
        <w:pStyle w:val="MdHeading3"/>
      </w:pPr>
      <w:r>
        <w:lastRenderedPageBreak/>
        <w:t>5.4 Research and Development Services</w:t>
      </w:r>
    </w:p>
    <w:p w14:paraId="47D94FA6" w14:textId="77777777" w:rsidR="00D37098" w:rsidRDefault="00000000">
      <w:pPr>
        <w:pStyle w:val="MdParagraph"/>
      </w:pPr>
      <w:r>
        <w:rPr>
          <w:rStyle w:val="MdStrong"/>
        </w:rPr>
        <w:t>Model:</w:t>
      </w:r>
      <w:r>
        <w:t xml:space="preserve"> Zero-X provides custom R&amp;D services to clients with specific gasification challenges.</w:t>
      </w:r>
    </w:p>
    <w:p w14:paraId="76D1632D" w14:textId="77777777" w:rsidR="00D37098" w:rsidRDefault="00D37098">
      <w:pPr>
        <w:pStyle w:val="MdSpace"/>
        <w:spacing w:after="60"/>
      </w:pPr>
    </w:p>
    <w:p w14:paraId="59D6A750" w14:textId="77777777" w:rsidR="00D37098" w:rsidRDefault="00000000">
      <w:pPr>
        <w:pStyle w:val="MdParagraph"/>
      </w:pPr>
      <w:r>
        <w:rPr>
          <w:rStyle w:val="MdStrong"/>
        </w:rPr>
        <w:t>Customer Profile:</w:t>
      </w:r>
    </w:p>
    <w:p w14:paraId="1ADD8C8B" w14:textId="77777777" w:rsidR="00D37098" w:rsidRDefault="00000000">
      <w:pPr>
        <w:pStyle w:val="MdListItem"/>
        <w:numPr>
          <w:ilvl w:val="0"/>
          <w:numId w:val="2"/>
        </w:numPr>
      </w:pPr>
      <w:r>
        <w:t>Gasification equipment manufacturers (like MFC)</w:t>
      </w:r>
    </w:p>
    <w:p w14:paraId="40657A3A" w14:textId="77777777" w:rsidR="00D37098" w:rsidRDefault="00000000">
      <w:pPr>
        <w:pStyle w:val="MdListItem"/>
        <w:numPr>
          <w:ilvl w:val="0"/>
          <w:numId w:val="2"/>
        </w:numPr>
      </w:pPr>
      <w:r>
        <w:t>Waste management companies with challenging feedstocks</w:t>
      </w:r>
    </w:p>
    <w:p w14:paraId="100ED2B9" w14:textId="77777777" w:rsidR="00D37098" w:rsidRDefault="00000000">
      <w:pPr>
        <w:pStyle w:val="MdListItem"/>
        <w:numPr>
          <w:ilvl w:val="0"/>
          <w:numId w:val="2"/>
        </w:numPr>
      </w:pPr>
      <w:r>
        <w:t>Industrial companies seeking waste-to-energy solutions</w:t>
      </w:r>
    </w:p>
    <w:p w14:paraId="23B6B9E8" w14:textId="77777777" w:rsidR="00D37098" w:rsidRDefault="00000000">
      <w:pPr>
        <w:pStyle w:val="MdListItem"/>
        <w:numPr>
          <w:ilvl w:val="0"/>
          <w:numId w:val="2"/>
        </w:numPr>
      </w:pPr>
      <w:r>
        <w:t>Government agencies funding clean energy research</w:t>
      </w:r>
    </w:p>
    <w:p w14:paraId="3406C3B0" w14:textId="77777777" w:rsidR="00D37098" w:rsidRDefault="00D37098">
      <w:pPr>
        <w:pStyle w:val="MdSpace"/>
        <w:spacing w:after="60"/>
      </w:pPr>
    </w:p>
    <w:p w14:paraId="028DF894" w14:textId="77777777" w:rsidR="00D37098" w:rsidRDefault="00000000">
      <w:pPr>
        <w:pStyle w:val="MdParagraph"/>
      </w:pPr>
      <w:r>
        <w:rPr>
          <w:rStyle w:val="MdStrong"/>
        </w:rPr>
        <w:t>Revenue Structure:</w:t>
      </w:r>
    </w:p>
    <w:p w14:paraId="1B85FDBD" w14:textId="77777777" w:rsidR="00D37098" w:rsidRDefault="00000000">
      <w:pPr>
        <w:pStyle w:val="MdListItem"/>
        <w:numPr>
          <w:ilvl w:val="0"/>
          <w:numId w:val="2"/>
        </w:numPr>
      </w:pPr>
      <w:r>
        <w:rPr>
          <w:rStyle w:val="MdStrong"/>
        </w:rPr>
        <w:t>Fee-for-Service:</w:t>
      </w:r>
      <w:r>
        <w:t xml:space="preserve"> $100-300K per research project</w:t>
      </w:r>
    </w:p>
    <w:p w14:paraId="7E64096F" w14:textId="77777777" w:rsidR="00D37098" w:rsidRDefault="00000000">
      <w:pPr>
        <w:pStyle w:val="MdListItem"/>
        <w:numPr>
          <w:ilvl w:val="0"/>
          <w:numId w:val="2"/>
        </w:numPr>
      </w:pPr>
      <w:r>
        <w:rPr>
          <w:rStyle w:val="MdStrong"/>
        </w:rPr>
        <w:t>Deliverables:</w:t>
      </w:r>
      <w:r>
        <w:t xml:space="preserve"> Feasibility studies, catalyst development, performance </w:t>
      </w:r>
      <w:proofErr w:type="spellStart"/>
      <w:r>
        <w:t>modeling</w:t>
      </w:r>
      <w:proofErr w:type="spellEnd"/>
      <w:r>
        <w:t>, pilot testing</w:t>
      </w:r>
    </w:p>
    <w:p w14:paraId="5ECAECFF" w14:textId="77777777" w:rsidR="00D37098" w:rsidRDefault="00D37098">
      <w:pPr>
        <w:pStyle w:val="MdSpace"/>
        <w:spacing w:after="60"/>
      </w:pPr>
    </w:p>
    <w:p w14:paraId="29F2CE47" w14:textId="77777777" w:rsidR="00D37098" w:rsidRDefault="00000000">
      <w:pPr>
        <w:pStyle w:val="MdParagraph"/>
      </w:pPr>
      <w:r>
        <w:rPr>
          <w:rStyle w:val="MdStrong"/>
        </w:rPr>
        <w:t>Advantages:</w:t>
      </w:r>
    </w:p>
    <w:p w14:paraId="62E032E3" w14:textId="77777777" w:rsidR="00D37098" w:rsidRDefault="00000000">
      <w:pPr>
        <w:pStyle w:val="MdListItem"/>
        <w:numPr>
          <w:ilvl w:val="0"/>
          <w:numId w:val="2"/>
        </w:numPr>
      </w:pPr>
      <w:r>
        <w:t>Immediate revenue with minimal capital requirement</w:t>
      </w:r>
    </w:p>
    <w:p w14:paraId="4E0D180A" w14:textId="77777777" w:rsidR="00D37098" w:rsidRDefault="00000000">
      <w:pPr>
        <w:pStyle w:val="MdListItem"/>
        <w:numPr>
          <w:ilvl w:val="0"/>
          <w:numId w:val="2"/>
        </w:numPr>
      </w:pPr>
      <w:r>
        <w:t>Builds technical credibility and client relationships</w:t>
      </w:r>
    </w:p>
    <w:p w14:paraId="67600ED9" w14:textId="77777777" w:rsidR="00D37098" w:rsidRDefault="00000000">
      <w:pPr>
        <w:pStyle w:val="MdListItem"/>
        <w:numPr>
          <w:ilvl w:val="0"/>
          <w:numId w:val="2"/>
        </w:numPr>
      </w:pPr>
      <w:r>
        <w:t>Can lead to equipment sales, licensing, or BOO projects</w:t>
      </w:r>
    </w:p>
    <w:p w14:paraId="6B268527" w14:textId="77777777" w:rsidR="00D37098" w:rsidRDefault="00D37098">
      <w:pPr>
        <w:pStyle w:val="MdSpace"/>
        <w:spacing w:after="60"/>
      </w:pPr>
    </w:p>
    <w:p w14:paraId="3FCF1FB4" w14:textId="77777777" w:rsidR="00D37098" w:rsidRDefault="00000000">
      <w:pPr>
        <w:pStyle w:val="MdParagraph"/>
      </w:pPr>
      <w:r>
        <w:rPr>
          <w:rStyle w:val="MdStrong"/>
        </w:rPr>
        <w:t>Disadvantages:</w:t>
      </w:r>
    </w:p>
    <w:p w14:paraId="08002405" w14:textId="77777777" w:rsidR="00D37098" w:rsidRDefault="00000000">
      <w:pPr>
        <w:pStyle w:val="MdListItem"/>
        <w:numPr>
          <w:ilvl w:val="0"/>
          <w:numId w:val="2"/>
        </w:numPr>
      </w:pPr>
      <w:r>
        <w:t>Limited scalability (</w:t>
      </w:r>
      <w:proofErr w:type="spellStart"/>
      <w:r>
        <w:t>labor-intensive</w:t>
      </w:r>
      <w:proofErr w:type="spellEnd"/>
      <w:r>
        <w:t>)</w:t>
      </w:r>
    </w:p>
    <w:p w14:paraId="08728F50" w14:textId="77777777" w:rsidR="00D37098" w:rsidRDefault="00000000">
      <w:pPr>
        <w:pStyle w:val="MdListItem"/>
        <w:numPr>
          <w:ilvl w:val="0"/>
          <w:numId w:val="2"/>
        </w:numPr>
      </w:pPr>
      <w:r>
        <w:t>Lower total revenue potential than other models</w:t>
      </w:r>
    </w:p>
    <w:p w14:paraId="2DF0AC15" w14:textId="77777777" w:rsidR="00D37098" w:rsidRDefault="00000000">
      <w:pPr>
        <w:pStyle w:val="MdListItem"/>
        <w:numPr>
          <w:ilvl w:val="0"/>
          <w:numId w:val="2"/>
        </w:numPr>
      </w:pPr>
      <w:r>
        <w:t>Requires specialized technical expertise</w:t>
      </w:r>
    </w:p>
    <w:p w14:paraId="05066811" w14:textId="77777777" w:rsidR="00D37098" w:rsidRDefault="00D37098">
      <w:pPr>
        <w:pStyle w:val="MdSpace"/>
        <w:spacing w:after="60"/>
      </w:pPr>
    </w:p>
    <w:p w14:paraId="61D2FDC2" w14:textId="77777777" w:rsidR="00D37098" w:rsidRDefault="00000000">
      <w:pPr>
        <w:pStyle w:val="MdParagraph"/>
      </w:pPr>
      <w:r>
        <w:rPr>
          <w:rStyle w:val="MdStrong"/>
        </w:rPr>
        <w:t>Current Status:</w:t>
      </w:r>
      <w:r>
        <w:t xml:space="preserve"> This is Zero-X's current primary business model, with MFC as the flagship client. Zero-X provides gasifier design research, catalyst development, and performance </w:t>
      </w:r>
      <w:proofErr w:type="spellStart"/>
      <w:r>
        <w:t>modeling</w:t>
      </w:r>
      <w:proofErr w:type="spellEnd"/>
      <w:r>
        <w:t xml:space="preserve"> to support MFC's X-150 commercialization.</w:t>
      </w:r>
    </w:p>
    <w:p w14:paraId="765DF468" w14:textId="77777777" w:rsidR="00D37098" w:rsidRDefault="00D37098">
      <w:pPr>
        <w:pStyle w:val="MdSpace"/>
        <w:spacing w:after="60"/>
      </w:pPr>
    </w:p>
    <w:p w14:paraId="0D76406E" w14:textId="77777777" w:rsidR="00D37098" w:rsidRDefault="00D37098">
      <w:pPr>
        <w:pStyle w:val="MdHr"/>
        <w:pBdr>
          <w:bottom w:val="single" w:sz="6" w:space="1" w:color="auto"/>
        </w:pBdr>
      </w:pPr>
    </w:p>
    <w:p w14:paraId="0C927F2D" w14:textId="77777777" w:rsidR="00D37098" w:rsidRDefault="00D37098">
      <w:pPr>
        <w:pStyle w:val="MdSpace"/>
        <w:spacing w:after="60"/>
      </w:pPr>
    </w:p>
    <w:p w14:paraId="6B259233" w14:textId="77777777" w:rsidR="00D37098" w:rsidRDefault="00000000">
      <w:pPr>
        <w:pStyle w:val="MdHeading2"/>
      </w:pPr>
      <w:r>
        <w:t>6. Market Opportunity</w:t>
      </w:r>
    </w:p>
    <w:p w14:paraId="1B6698DA" w14:textId="77777777" w:rsidR="00D37098" w:rsidRDefault="00000000">
      <w:pPr>
        <w:pStyle w:val="MdParagraph"/>
      </w:pPr>
      <w:r>
        <w:t>The X-150 addresses multiple large, growing markets driven by waste management challenges, energy transition, and decarbonization goals.</w:t>
      </w:r>
    </w:p>
    <w:p w14:paraId="4A02B371" w14:textId="77777777" w:rsidR="00D37098" w:rsidRDefault="00D37098">
      <w:pPr>
        <w:pStyle w:val="MdSpace"/>
        <w:spacing w:after="60"/>
      </w:pPr>
    </w:p>
    <w:p w14:paraId="64AAE47E" w14:textId="77777777" w:rsidR="00D37098" w:rsidRDefault="00000000">
      <w:pPr>
        <w:pStyle w:val="MdHeading3"/>
      </w:pPr>
      <w:r>
        <w:t>6.1 Total Addressable Market (TAM)</w:t>
      </w:r>
    </w:p>
    <w:p w14:paraId="0B0CABF0" w14:textId="77777777" w:rsidR="00D37098" w:rsidRDefault="00000000">
      <w:pPr>
        <w:pStyle w:val="MdParagraph"/>
      </w:pPr>
      <w:r>
        <w:t xml:space="preserve">Based on comprehensive market research across 22+ use cases, the combined TAM for X-150 applications is estimated at </w:t>
      </w:r>
      <w:r>
        <w:rPr>
          <w:rStyle w:val="MdStrong"/>
        </w:rPr>
        <w:t>$847 billion (2025-2035)</w:t>
      </w:r>
      <w:r>
        <w:t xml:space="preserve"> across eight major market segments:</w:t>
      </w:r>
    </w:p>
    <w:p w14:paraId="002CDAD3" w14:textId="77777777" w:rsidR="00D37098" w:rsidRDefault="00D37098">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900"/>
        <w:gridCol w:w="1839"/>
        <w:gridCol w:w="4287"/>
      </w:tblGrid>
      <w:tr w:rsidR="00D37098" w14:paraId="3450E73B" w14:textId="77777777">
        <w:trPr>
          <w:cantSplit/>
          <w:trHeight w:val="720"/>
          <w:tblHeader/>
        </w:trPr>
        <w:tc>
          <w:tcPr>
            <w:tcW w:w="0" w:type="auto"/>
            <w:tcMar>
              <w:top w:w="100" w:type="dxa"/>
              <w:left w:w="120" w:type="dxa"/>
              <w:bottom w:w="100" w:type="dxa"/>
              <w:right w:w="120" w:type="dxa"/>
            </w:tcMar>
            <w:vAlign w:val="center"/>
          </w:tcPr>
          <w:p w14:paraId="53D392D0" w14:textId="77777777" w:rsidR="00D37098" w:rsidRDefault="00000000">
            <w:pPr>
              <w:pStyle w:val="MdTableHeader"/>
            </w:pPr>
            <w:r>
              <w:t>Market Segment</w:t>
            </w:r>
          </w:p>
        </w:tc>
        <w:tc>
          <w:tcPr>
            <w:tcW w:w="0" w:type="auto"/>
            <w:tcMar>
              <w:top w:w="100" w:type="dxa"/>
              <w:left w:w="120" w:type="dxa"/>
              <w:bottom w:w="100" w:type="dxa"/>
              <w:right w:w="120" w:type="dxa"/>
            </w:tcMar>
            <w:vAlign w:val="center"/>
          </w:tcPr>
          <w:p w14:paraId="76B41E50" w14:textId="77777777" w:rsidR="00D37098" w:rsidRDefault="00000000">
            <w:pPr>
              <w:pStyle w:val="MdTableHeader"/>
            </w:pPr>
            <w:r>
              <w:t>10-Year TAM</w:t>
            </w:r>
          </w:p>
        </w:tc>
        <w:tc>
          <w:tcPr>
            <w:tcW w:w="0" w:type="auto"/>
            <w:tcMar>
              <w:top w:w="100" w:type="dxa"/>
              <w:left w:w="120" w:type="dxa"/>
              <w:bottom w:w="100" w:type="dxa"/>
              <w:right w:w="120" w:type="dxa"/>
            </w:tcMar>
            <w:vAlign w:val="center"/>
          </w:tcPr>
          <w:p w14:paraId="76FBC8BD" w14:textId="77777777" w:rsidR="00D37098" w:rsidRDefault="00000000">
            <w:pPr>
              <w:pStyle w:val="MdTableHeader"/>
            </w:pPr>
            <w:r>
              <w:t>Key Drivers</w:t>
            </w:r>
          </w:p>
        </w:tc>
      </w:tr>
      <w:tr w:rsidR="00D37098" w14:paraId="282FEDA7" w14:textId="77777777">
        <w:trPr>
          <w:cantSplit/>
          <w:trHeight w:val="576"/>
        </w:trPr>
        <w:tc>
          <w:tcPr>
            <w:tcW w:w="0" w:type="auto"/>
            <w:tcMar>
              <w:top w:w="80" w:type="dxa"/>
              <w:left w:w="120" w:type="dxa"/>
              <w:bottom w:w="80" w:type="dxa"/>
              <w:right w:w="120" w:type="dxa"/>
            </w:tcMar>
            <w:vAlign w:val="center"/>
          </w:tcPr>
          <w:p w14:paraId="1EC3A3EB" w14:textId="77777777" w:rsidR="00D37098" w:rsidRDefault="00000000">
            <w:pPr>
              <w:pStyle w:val="MdTableCell"/>
            </w:pPr>
            <w:r>
              <w:rPr>
                <w:rStyle w:val="MdStrong"/>
              </w:rPr>
              <w:t>Waste-to-Energy</w:t>
            </w:r>
          </w:p>
        </w:tc>
        <w:tc>
          <w:tcPr>
            <w:tcW w:w="0" w:type="auto"/>
            <w:tcMar>
              <w:top w:w="80" w:type="dxa"/>
              <w:left w:w="120" w:type="dxa"/>
              <w:bottom w:w="80" w:type="dxa"/>
              <w:right w:w="120" w:type="dxa"/>
            </w:tcMar>
            <w:vAlign w:val="center"/>
          </w:tcPr>
          <w:p w14:paraId="52742DE9" w14:textId="77777777" w:rsidR="00D37098" w:rsidRDefault="00000000">
            <w:pPr>
              <w:pStyle w:val="MdTableCell"/>
            </w:pPr>
            <w:r>
              <w:t>$285B</w:t>
            </w:r>
          </w:p>
        </w:tc>
        <w:tc>
          <w:tcPr>
            <w:tcW w:w="0" w:type="auto"/>
            <w:tcMar>
              <w:top w:w="80" w:type="dxa"/>
              <w:left w:w="120" w:type="dxa"/>
              <w:bottom w:w="80" w:type="dxa"/>
              <w:right w:w="120" w:type="dxa"/>
            </w:tcMar>
            <w:vAlign w:val="center"/>
          </w:tcPr>
          <w:p w14:paraId="4E121EAF" w14:textId="77777777" w:rsidR="00D37098" w:rsidRDefault="00000000">
            <w:pPr>
              <w:pStyle w:val="MdTableCell"/>
            </w:pPr>
            <w:r>
              <w:t>Landfill diversion, tipping fee avoidance</w:t>
            </w:r>
          </w:p>
        </w:tc>
      </w:tr>
      <w:tr w:rsidR="00D37098" w14:paraId="7E747F4D" w14:textId="77777777">
        <w:trPr>
          <w:cantSplit/>
          <w:trHeight w:val="576"/>
        </w:trPr>
        <w:tc>
          <w:tcPr>
            <w:tcW w:w="0" w:type="auto"/>
            <w:tcMar>
              <w:top w:w="80" w:type="dxa"/>
              <w:left w:w="120" w:type="dxa"/>
              <w:bottom w:w="80" w:type="dxa"/>
              <w:right w:w="120" w:type="dxa"/>
            </w:tcMar>
            <w:vAlign w:val="center"/>
          </w:tcPr>
          <w:p w14:paraId="51BCDD7C" w14:textId="77777777" w:rsidR="00D37098" w:rsidRDefault="00000000">
            <w:pPr>
              <w:pStyle w:val="MdTableCell"/>
            </w:pPr>
            <w:r>
              <w:rPr>
                <w:rStyle w:val="MdStrong"/>
              </w:rPr>
              <w:t>Decentralized Power</w:t>
            </w:r>
          </w:p>
        </w:tc>
        <w:tc>
          <w:tcPr>
            <w:tcW w:w="0" w:type="auto"/>
            <w:tcMar>
              <w:top w:w="80" w:type="dxa"/>
              <w:left w:w="120" w:type="dxa"/>
              <w:bottom w:w="80" w:type="dxa"/>
              <w:right w:w="120" w:type="dxa"/>
            </w:tcMar>
            <w:vAlign w:val="center"/>
          </w:tcPr>
          <w:p w14:paraId="5589B244" w14:textId="77777777" w:rsidR="00D37098" w:rsidRDefault="00000000">
            <w:pPr>
              <w:pStyle w:val="MdTableCell"/>
            </w:pPr>
            <w:r>
              <w:t>$178B</w:t>
            </w:r>
          </w:p>
        </w:tc>
        <w:tc>
          <w:tcPr>
            <w:tcW w:w="0" w:type="auto"/>
            <w:tcMar>
              <w:top w:w="80" w:type="dxa"/>
              <w:left w:w="120" w:type="dxa"/>
              <w:bottom w:w="80" w:type="dxa"/>
              <w:right w:w="120" w:type="dxa"/>
            </w:tcMar>
            <w:vAlign w:val="center"/>
          </w:tcPr>
          <w:p w14:paraId="1E88BAD7" w14:textId="77777777" w:rsidR="00D37098" w:rsidRDefault="00000000">
            <w:pPr>
              <w:pStyle w:val="MdTableCell"/>
            </w:pPr>
            <w:r>
              <w:t>Energy independence, grid resilience</w:t>
            </w:r>
          </w:p>
        </w:tc>
      </w:tr>
      <w:tr w:rsidR="00D37098" w14:paraId="37CF8BB9" w14:textId="77777777">
        <w:trPr>
          <w:cantSplit/>
          <w:trHeight w:val="576"/>
        </w:trPr>
        <w:tc>
          <w:tcPr>
            <w:tcW w:w="0" w:type="auto"/>
            <w:tcMar>
              <w:top w:w="80" w:type="dxa"/>
              <w:left w:w="120" w:type="dxa"/>
              <w:bottom w:w="80" w:type="dxa"/>
              <w:right w:w="120" w:type="dxa"/>
            </w:tcMar>
            <w:vAlign w:val="center"/>
          </w:tcPr>
          <w:p w14:paraId="5644ABD3" w14:textId="77777777" w:rsidR="00D37098" w:rsidRDefault="00000000">
            <w:pPr>
              <w:pStyle w:val="MdTableCell"/>
            </w:pPr>
            <w:r>
              <w:rPr>
                <w:rStyle w:val="MdStrong"/>
              </w:rPr>
              <w:t>Off-Grid Power</w:t>
            </w:r>
          </w:p>
        </w:tc>
        <w:tc>
          <w:tcPr>
            <w:tcW w:w="0" w:type="auto"/>
            <w:tcMar>
              <w:top w:w="80" w:type="dxa"/>
              <w:left w:w="120" w:type="dxa"/>
              <w:bottom w:w="80" w:type="dxa"/>
              <w:right w:w="120" w:type="dxa"/>
            </w:tcMar>
            <w:vAlign w:val="center"/>
          </w:tcPr>
          <w:p w14:paraId="2380AB6D" w14:textId="77777777" w:rsidR="00D37098" w:rsidRDefault="00000000">
            <w:pPr>
              <w:pStyle w:val="MdTableCell"/>
            </w:pPr>
            <w:r>
              <w:t>$142B</w:t>
            </w:r>
          </w:p>
        </w:tc>
        <w:tc>
          <w:tcPr>
            <w:tcW w:w="0" w:type="auto"/>
            <w:tcMar>
              <w:top w:w="80" w:type="dxa"/>
              <w:left w:w="120" w:type="dxa"/>
              <w:bottom w:w="80" w:type="dxa"/>
              <w:right w:w="120" w:type="dxa"/>
            </w:tcMar>
            <w:vAlign w:val="center"/>
          </w:tcPr>
          <w:p w14:paraId="1A3D2C0C" w14:textId="77777777" w:rsidR="00D37098" w:rsidRDefault="00000000">
            <w:pPr>
              <w:pStyle w:val="MdTableCell"/>
            </w:pPr>
            <w:r>
              <w:t>Remote locations, developing markets</w:t>
            </w:r>
          </w:p>
        </w:tc>
      </w:tr>
      <w:tr w:rsidR="00D37098" w14:paraId="1E7DDCA3" w14:textId="77777777">
        <w:trPr>
          <w:cantSplit/>
          <w:trHeight w:val="576"/>
        </w:trPr>
        <w:tc>
          <w:tcPr>
            <w:tcW w:w="0" w:type="auto"/>
            <w:tcMar>
              <w:top w:w="80" w:type="dxa"/>
              <w:left w:w="120" w:type="dxa"/>
              <w:bottom w:w="80" w:type="dxa"/>
              <w:right w:w="120" w:type="dxa"/>
            </w:tcMar>
            <w:vAlign w:val="center"/>
          </w:tcPr>
          <w:p w14:paraId="302FF700" w14:textId="77777777" w:rsidR="00D37098" w:rsidRDefault="00000000">
            <w:pPr>
              <w:pStyle w:val="MdTableCell"/>
            </w:pPr>
            <w:r>
              <w:rPr>
                <w:rStyle w:val="MdStrong"/>
              </w:rPr>
              <w:t>Waste-to-Hydrogen</w:t>
            </w:r>
          </w:p>
        </w:tc>
        <w:tc>
          <w:tcPr>
            <w:tcW w:w="0" w:type="auto"/>
            <w:tcMar>
              <w:top w:w="80" w:type="dxa"/>
              <w:left w:w="120" w:type="dxa"/>
              <w:bottom w:w="80" w:type="dxa"/>
              <w:right w:w="120" w:type="dxa"/>
            </w:tcMar>
            <w:vAlign w:val="center"/>
          </w:tcPr>
          <w:p w14:paraId="3B2376B8" w14:textId="77777777" w:rsidR="00D37098" w:rsidRDefault="00000000">
            <w:pPr>
              <w:pStyle w:val="MdTableCell"/>
            </w:pPr>
            <w:r>
              <w:t>$89B</w:t>
            </w:r>
          </w:p>
        </w:tc>
        <w:tc>
          <w:tcPr>
            <w:tcW w:w="0" w:type="auto"/>
            <w:tcMar>
              <w:top w:w="80" w:type="dxa"/>
              <w:left w:w="120" w:type="dxa"/>
              <w:bottom w:w="80" w:type="dxa"/>
              <w:right w:w="120" w:type="dxa"/>
            </w:tcMar>
            <w:vAlign w:val="center"/>
          </w:tcPr>
          <w:p w14:paraId="5A8E41C4" w14:textId="77777777" w:rsidR="00D37098" w:rsidRDefault="00000000">
            <w:pPr>
              <w:pStyle w:val="MdTableCell"/>
            </w:pPr>
            <w:r>
              <w:t>Clean hydrogen demand, fuel cell vehicles</w:t>
            </w:r>
          </w:p>
        </w:tc>
      </w:tr>
      <w:tr w:rsidR="00D37098" w14:paraId="3C588327" w14:textId="77777777">
        <w:trPr>
          <w:cantSplit/>
          <w:trHeight w:val="576"/>
        </w:trPr>
        <w:tc>
          <w:tcPr>
            <w:tcW w:w="0" w:type="auto"/>
            <w:tcMar>
              <w:top w:w="80" w:type="dxa"/>
              <w:left w:w="120" w:type="dxa"/>
              <w:bottom w:w="80" w:type="dxa"/>
              <w:right w:w="120" w:type="dxa"/>
            </w:tcMar>
            <w:vAlign w:val="center"/>
          </w:tcPr>
          <w:p w14:paraId="5D862A49" w14:textId="77777777" w:rsidR="00D37098" w:rsidRDefault="00000000">
            <w:pPr>
              <w:pStyle w:val="MdTableCell"/>
            </w:pPr>
            <w:r>
              <w:rPr>
                <w:rStyle w:val="MdStrong"/>
              </w:rPr>
              <w:t>Diesel Replacement</w:t>
            </w:r>
          </w:p>
        </w:tc>
        <w:tc>
          <w:tcPr>
            <w:tcW w:w="0" w:type="auto"/>
            <w:tcMar>
              <w:top w:w="80" w:type="dxa"/>
              <w:left w:w="120" w:type="dxa"/>
              <w:bottom w:w="80" w:type="dxa"/>
              <w:right w:w="120" w:type="dxa"/>
            </w:tcMar>
            <w:vAlign w:val="center"/>
          </w:tcPr>
          <w:p w14:paraId="7F1120E3" w14:textId="77777777" w:rsidR="00D37098" w:rsidRDefault="00000000">
            <w:pPr>
              <w:pStyle w:val="MdTableCell"/>
            </w:pPr>
            <w:r>
              <w:t>$67B</w:t>
            </w:r>
          </w:p>
        </w:tc>
        <w:tc>
          <w:tcPr>
            <w:tcW w:w="0" w:type="auto"/>
            <w:tcMar>
              <w:top w:w="80" w:type="dxa"/>
              <w:left w:w="120" w:type="dxa"/>
              <w:bottom w:w="80" w:type="dxa"/>
              <w:right w:w="120" w:type="dxa"/>
            </w:tcMar>
            <w:vAlign w:val="center"/>
          </w:tcPr>
          <w:p w14:paraId="4F2793A8" w14:textId="77777777" w:rsidR="00D37098" w:rsidRDefault="00000000">
            <w:pPr>
              <w:pStyle w:val="MdTableCell"/>
            </w:pPr>
            <w:r>
              <w:t>Mining, construction, remote operations</w:t>
            </w:r>
          </w:p>
        </w:tc>
      </w:tr>
      <w:tr w:rsidR="00D37098" w14:paraId="6689A78D" w14:textId="77777777">
        <w:trPr>
          <w:cantSplit/>
          <w:trHeight w:val="576"/>
        </w:trPr>
        <w:tc>
          <w:tcPr>
            <w:tcW w:w="0" w:type="auto"/>
            <w:tcMar>
              <w:top w:w="80" w:type="dxa"/>
              <w:left w:w="120" w:type="dxa"/>
              <w:bottom w:w="80" w:type="dxa"/>
              <w:right w:w="120" w:type="dxa"/>
            </w:tcMar>
            <w:vAlign w:val="center"/>
          </w:tcPr>
          <w:p w14:paraId="2AAC30F5" w14:textId="77777777" w:rsidR="00D37098" w:rsidRDefault="00000000">
            <w:pPr>
              <w:pStyle w:val="MdTableCell"/>
            </w:pPr>
            <w:r>
              <w:rPr>
                <w:rStyle w:val="MdStrong"/>
              </w:rPr>
              <w:t>Island Grids</w:t>
            </w:r>
          </w:p>
        </w:tc>
        <w:tc>
          <w:tcPr>
            <w:tcW w:w="0" w:type="auto"/>
            <w:tcMar>
              <w:top w:w="80" w:type="dxa"/>
              <w:left w:w="120" w:type="dxa"/>
              <w:bottom w:w="80" w:type="dxa"/>
              <w:right w:w="120" w:type="dxa"/>
            </w:tcMar>
            <w:vAlign w:val="center"/>
          </w:tcPr>
          <w:p w14:paraId="2ADEECEA" w14:textId="77777777" w:rsidR="00D37098" w:rsidRDefault="00000000">
            <w:pPr>
              <w:pStyle w:val="MdTableCell"/>
            </w:pPr>
            <w:r>
              <w:t>$45B</w:t>
            </w:r>
          </w:p>
        </w:tc>
        <w:tc>
          <w:tcPr>
            <w:tcW w:w="0" w:type="auto"/>
            <w:tcMar>
              <w:top w:w="80" w:type="dxa"/>
              <w:left w:w="120" w:type="dxa"/>
              <w:bottom w:w="80" w:type="dxa"/>
              <w:right w:w="120" w:type="dxa"/>
            </w:tcMar>
            <w:vAlign w:val="center"/>
          </w:tcPr>
          <w:p w14:paraId="4533928B" w14:textId="77777777" w:rsidR="00D37098" w:rsidRDefault="00000000">
            <w:pPr>
              <w:pStyle w:val="MdTableCell"/>
            </w:pPr>
            <w:r>
              <w:t>Energy security, high fuel costs</w:t>
            </w:r>
          </w:p>
        </w:tc>
      </w:tr>
      <w:tr w:rsidR="00D37098" w14:paraId="38F1F441" w14:textId="77777777">
        <w:trPr>
          <w:cantSplit/>
          <w:trHeight w:val="576"/>
        </w:trPr>
        <w:tc>
          <w:tcPr>
            <w:tcW w:w="0" w:type="auto"/>
            <w:tcMar>
              <w:top w:w="80" w:type="dxa"/>
              <w:left w:w="120" w:type="dxa"/>
              <w:bottom w:w="80" w:type="dxa"/>
              <w:right w:w="120" w:type="dxa"/>
            </w:tcMar>
            <w:vAlign w:val="center"/>
          </w:tcPr>
          <w:p w14:paraId="49EDA9E2" w14:textId="77777777" w:rsidR="00D37098" w:rsidRDefault="00000000">
            <w:pPr>
              <w:pStyle w:val="MdTableCell"/>
            </w:pPr>
            <w:r>
              <w:rPr>
                <w:rStyle w:val="MdStrong"/>
              </w:rPr>
              <w:t>Carbon Capture/Removal</w:t>
            </w:r>
          </w:p>
        </w:tc>
        <w:tc>
          <w:tcPr>
            <w:tcW w:w="0" w:type="auto"/>
            <w:tcMar>
              <w:top w:w="80" w:type="dxa"/>
              <w:left w:w="120" w:type="dxa"/>
              <w:bottom w:w="80" w:type="dxa"/>
              <w:right w:w="120" w:type="dxa"/>
            </w:tcMar>
            <w:vAlign w:val="center"/>
          </w:tcPr>
          <w:p w14:paraId="3D9B1EE4" w14:textId="77777777" w:rsidR="00D37098" w:rsidRDefault="00000000">
            <w:pPr>
              <w:pStyle w:val="MdTableCell"/>
            </w:pPr>
            <w:r>
              <w:t>$28B</w:t>
            </w:r>
          </w:p>
        </w:tc>
        <w:tc>
          <w:tcPr>
            <w:tcW w:w="0" w:type="auto"/>
            <w:tcMar>
              <w:top w:w="80" w:type="dxa"/>
              <w:left w:w="120" w:type="dxa"/>
              <w:bottom w:w="80" w:type="dxa"/>
              <w:right w:w="120" w:type="dxa"/>
            </w:tcMar>
            <w:vAlign w:val="center"/>
          </w:tcPr>
          <w:p w14:paraId="02FCD7DD" w14:textId="77777777" w:rsidR="00D37098" w:rsidRDefault="00000000">
            <w:pPr>
              <w:pStyle w:val="MdTableCell"/>
            </w:pPr>
            <w:r>
              <w:t>Carbon credits, net-zero commitments</w:t>
            </w:r>
          </w:p>
        </w:tc>
      </w:tr>
      <w:tr w:rsidR="00D37098" w14:paraId="0B3E2C3C" w14:textId="77777777">
        <w:trPr>
          <w:cantSplit/>
          <w:trHeight w:val="576"/>
        </w:trPr>
        <w:tc>
          <w:tcPr>
            <w:tcW w:w="0" w:type="auto"/>
            <w:tcMar>
              <w:top w:w="80" w:type="dxa"/>
              <w:left w:w="120" w:type="dxa"/>
              <w:bottom w:w="80" w:type="dxa"/>
              <w:right w:w="120" w:type="dxa"/>
            </w:tcMar>
            <w:vAlign w:val="center"/>
          </w:tcPr>
          <w:p w14:paraId="35343995" w14:textId="77777777" w:rsidR="00D37098" w:rsidRDefault="00000000">
            <w:pPr>
              <w:pStyle w:val="MdTableCell"/>
            </w:pPr>
            <w:r>
              <w:rPr>
                <w:rStyle w:val="MdStrong"/>
              </w:rPr>
              <w:t>Hospitality Waste</w:t>
            </w:r>
          </w:p>
        </w:tc>
        <w:tc>
          <w:tcPr>
            <w:tcW w:w="0" w:type="auto"/>
            <w:tcMar>
              <w:top w:w="80" w:type="dxa"/>
              <w:left w:w="120" w:type="dxa"/>
              <w:bottom w:w="80" w:type="dxa"/>
              <w:right w:w="120" w:type="dxa"/>
            </w:tcMar>
            <w:vAlign w:val="center"/>
          </w:tcPr>
          <w:p w14:paraId="2F91DD0D" w14:textId="77777777" w:rsidR="00D37098" w:rsidRDefault="00000000">
            <w:pPr>
              <w:pStyle w:val="MdTableCell"/>
            </w:pPr>
            <w:r>
              <w:t>$13B</w:t>
            </w:r>
          </w:p>
        </w:tc>
        <w:tc>
          <w:tcPr>
            <w:tcW w:w="0" w:type="auto"/>
            <w:tcMar>
              <w:top w:w="80" w:type="dxa"/>
              <w:left w:w="120" w:type="dxa"/>
              <w:bottom w:w="80" w:type="dxa"/>
              <w:right w:w="120" w:type="dxa"/>
            </w:tcMar>
            <w:vAlign w:val="center"/>
          </w:tcPr>
          <w:p w14:paraId="09D9FFFC" w14:textId="77777777" w:rsidR="00D37098" w:rsidRDefault="00000000">
            <w:pPr>
              <w:pStyle w:val="MdTableCell"/>
            </w:pPr>
            <w:r>
              <w:t>Hotels, resorts, cruise ships</w:t>
            </w:r>
          </w:p>
        </w:tc>
      </w:tr>
      <w:tr w:rsidR="00D37098" w14:paraId="68EC6643"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6B33AA6C" w14:textId="77777777" w:rsidR="00D37098" w:rsidRDefault="00000000">
            <w:pPr>
              <w:pStyle w:val="MdTableCell"/>
            </w:pPr>
            <w:r>
              <w:rPr>
                <w:rStyle w:val="MdStrong"/>
              </w:rPr>
              <w:t>Total</w:t>
            </w:r>
          </w:p>
        </w:tc>
        <w:tc>
          <w:tcPr>
            <w:tcW w:w="0" w:type="auto"/>
            <w:tcBorders>
              <w:bottom w:val="single" w:sz="4" w:space="0" w:color="E1E4E8"/>
            </w:tcBorders>
            <w:tcMar>
              <w:top w:w="80" w:type="dxa"/>
              <w:left w:w="120" w:type="dxa"/>
              <w:bottom w:w="80" w:type="dxa"/>
              <w:right w:w="120" w:type="dxa"/>
            </w:tcMar>
            <w:vAlign w:val="center"/>
          </w:tcPr>
          <w:p w14:paraId="381DED04" w14:textId="77777777" w:rsidR="00D37098" w:rsidRDefault="00000000">
            <w:pPr>
              <w:pStyle w:val="MdTableCell"/>
            </w:pPr>
            <w:r>
              <w:rPr>
                <w:rStyle w:val="MdStrong"/>
              </w:rPr>
              <w:t>$847B</w:t>
            </w:r>
          </w:p>
        </w:tc>
        <w:tc>
          <w:tcPr>
            <w:tcW w:w="0" w:type="auto"/>
            <w:tcBorders>
              <w:bottom w:val="single" w:sz="4" w:space="0" w:color="E1E4E8"/>
            </w:tcBorders>
            <w:tcMar>
              <w:top w:w="80" w:type="dxa"/>
              <w:left w:w="120" w:type="dxa"/>
              <w:bottom w:w="80" w:type="dxa"/>
              <w:right w:w="120" w:type="dxa"/>
            </w:tcMar>
            <w:vAlign w:val="center"/>
          </w:tcPr>
          <w:p w14:paraId="6F1A8EFD" w14:textId="77777777" w:rsidR="00D37098" w:rsidRDefault="00D37098">
            <w:pPr>
              <w:pStyle w:val="MdTableCell"/>
            </w:pPr>
          </w:p>
        </w:tc>
      </w:tr>
    </w:tbl>
    <w:p w14:paraId="501BF6F9" w14:textId="77777777" w:rsidR="00D37098" w:rsidRDefault="00000000">
      <w:pPr>
        <w:pStyle w:val="MdParagraph"/>
      </w:pPr>
      <w:r>
        <w:rPr>
          <w:rStyle w:val="MdStrong"/>
        </w:rPr>
        <w:t>Serviceable Addressable Market (SAM):</w:t>
      </w:r>
      <w:r>
        <w:t xml:space="preserve"> Approximately </w:t>
      </w:r>
      <w:r>
        <w:rPr>
          <w:rStyle w:val="MdStrong"/>
        </w:rPr>
        <w:t>$127 billion</w:t>
      </w:r>
      <w:r>
        <w:t xml:space="preserve"> representing facilities and applications where the X-150's scale (3.6 tonnes/day) is appropriate.</w:t>
      </w:r>
    </w:p>
    <w:p w14:paraId="5BDE981B" w14:textId="77777777" w:rsidR="00D37098" w:rsidRDefault="00D37098">
      <w:pPr>
        <w:pStyle w:val="MdSpace"/>
        <w:spacing w:after="60"/>
      </w:pPr>
    </w:p>
    <w:p w14:paraId="057E21FF" w14:textId="77777777" w:rsidR="00D37098" w:rsidRDefault="00000000">
      <w:pPr>
        <w:pStyle w:val="MdParagraph"/>
      </w:pPr>
      <w:r>
        <w:rPr>
          <w:rStyle w:val="MdStrong"/>
        </w:rPr>
        <w:t>Realistic 10-Year Capture:</w:t>
      </w:r>
      <w:r>
        <w:t xml:space="preserve"> </w:t>
      </w:r>
      <w:r>
        <w:rPr>
          <w:rStyle w:val="MdStrong"/>
        </w:rPr>
        <w:t>$12.7 billion</w:t>
      </w:r>
      <w:r>
        <w:t xml:space="preserve"> assuming 10% SAM penetration, representing approximately </w:t>
      </w:r>
      <w:r>
        <w:rPr>
          <w:rStyle w:val="MdStrong"/>
        </w:rPr>
        <w:t>1,000 X-150 installations globally</w:t>
      </w:r>
      <w:r>
        <w:t>.</w:t>
      </w:r>
    </w:p>
    <w:p w14:paraId="52EAF37A" w14:textId="77777777" w:rsidR="00D37098" w:rsidRDefault="00D37098">
      <w:pPr>
        <w:pStyle w:val="MdSpace"/>
        <w:spacing w:after="60"/>
      </w:pPr>
    </w:p>
    <w:p w14:paraId="1A8B5FDF" w14:textId="77777777" w:rsidR="00D37098" w:rsidRDefault="00000000">
      <w:pPr>
        <w:pStyle w:val="MdHeading3"/>
      </w:pPr>
      <w:r>
        <w:t>6.2 Key Market Drivers</w:t>
      </w:r>
    </w:p>
    <w:p w14:paraId="6FE9AB9A" w14:textId="77777777" w:rsidR="00D37098" w:rsidRDefault="00000000">
      <w:pPr>
        <w:pStyle w:val="MdParagraph"/>
      </w:pPr>
      <w:r>
        <w:rPr>
          <w:rStyle w:val="MdStrong"/>
        </w:rPr>
        <w:t>Regulatory Pressure:</w:t>
      </w:r>
    </w:p>
    <w:p w14:paraId="7269189F" w14:textId="77777777" w:rsidR="00D37098" w:rsidRDefault="00000000">
      <w:pPr>
        <w:pStyle w:val="MdListItem"/>
        <w:numPr>
          <w:ilvl w:val="0"/>
          <w:numId w:val="2"/>
        </w:numPr>
      </w:pPr>
      <w:r>
        <w:t>Landfill bans and restrictions (EU, California, many Asian markets)</w:t>
      </w:r>
    </w:p>
    <w:p w14:paraId="44E27855" w14:textId="77777777" w:rsidR="00D37098" w:rsidRDefault="00000000">
      <w:pPr>
        <w:pStyle w:val="MdListItem"/>
        <w:numPr>
          <w:ilvl w:val="0"/>
          <w:numId w:val="2"/>
        </w:numPr>
      </w:pPr>
      <w:r>
        <w:t>Renewable energy mandates and carbon pricing</w:t>
      </w:r>
    </w:p>
    <w:p w14:paraId="3F2F365C" w14:textId="77777777" w:rsidR="00D37098" w:rsidRDefault="00000000">
      <w:pPr>
        <w:pStyle w:val="MdListItem"/>
        <w:numPr>
          <w:ilvl w:val="0"/>
          <w:numId w:val="2"/>
        </w:numPr>
      </w:pPr>
      <w:r>
        <w:t xml:space="preserve">Circular economy policies requiring waste </w:t>
      </w:r>
      <w:proofErr w:type="spellStart"/>
      <w:r>
        <w:t>valorization</w:t>
      </w:r>
      <w:proofErr w:type="spellEnd"/>
    </w:p>
    <w:p w14:paraId="11454D54" w14:textId="77777777" w:rsidR="00D37098" w:rsidRDefault="00000000">
      <w:pPr>
        <w:pStyle w:val="MdListItem"/>
        <w:numPr>
          <w:ilvl w:val="0"/>
          <w:numId w:val="2"/>
        </w:numPr>
      </w:pPr>
      <w:r>
        <w:t>SAF mandates for aviation (EU, US, UK)</w:t>
      </w:r>
    </w:p>
    <w:p w14:paraId="2AB44431" w14:textId="77777777" w:rsidR="00D37098" w:rsidRDefault="00D37098">
      <w:pPr>
        <w:pStyle w:val="MdSpace"/>
        <w:spacing w:after="60"/>
      </w:pPr>
    </w:p>
    <w:p w14:paraId="60A8D9E0" w14:textId="77777777" w:rsidR="00D37098" w:rsidRDefault="00000000">
      <w:pPr>
        <w:pStyle w:val="MdParagraph"/>
      </w:pPr>
      <w:r>
        <w:rPr>
          <w:rStyle w:val="MdStrong"/>
        </w:rPr>
        <w:t>Economic Drivers:</w:t>
      </w:r>
    </w:p>
    <w:p w14:paraId="48BB4A8E" w14:textId="77777777" w:rsidR="00D37098" w:rsidRDefault="00000000">
      <w:pPr>
        <w:pStyle w:val="MdListItem"/>
        <w:numPr>
          <w:ilvl w:val="0"/>
          <w:numId w:val="2"/>
        </w:numPr>
      </w:pPr>
      <w:r>
        <w:t>Rising waste disposal costs ($50-300/tonne in developed markets)</w:t>
      </w:r>
    </w:p>
    <w:p w14:paraId="5427FDCE" w14:textId="77777777" w:rsidR="00D37098" w:rsidRDefault="00000000">
      <w:pPr>
        <w:pStyle w:val="MdListItem"/>
        <w:numPr>
          <w:ilvl w:val="0"/>
          <w:numId w:val="2"/>
        </w:numPr>
      </w:pPr>
      <w:r>
        <w:t>Increasing energy costs (electricity, natural gas, diesel)</w:t>
      </w:r>
    </w:p>
    <w:p w14:paraId="1D40A7F9" w14:textId="77777777" w:rsidR="00D37098" w:rsidRDefault="00000000">
      <w:pPr>
        <w:pStyle w:val="MdListItem"/>
        <w:numPr>
          <w:ilvl w:val="0"/>
          <w:numId w:val="2"/>
        </w:numPr>
      </w:pPr>
      <w:r>
        <w:t xml:space="preserve">Carbon credit values ($20-100/tonne </w:t>
      </w:r>
      <w:proofErr w:type="spellStart"/>
      <w:r>
        <w:t>CO₂eq</w:t>
      </w:r>
      <w:proofErr w:type="spellEnd"/>
      <w:r>
        <w:t>)</w:t>
      </w:r>
    </w:p>
    <w:p w14:paraId="5478B0A8" w14:textId="77777777" w:rsidR="00D37098" w:rsidRDefault="00000000">
      <w:pPr>
        <w:pStyle w:val="MdListItem"/>
        <w:numPr>
          <w:ilvl w:val="0"/>
          <w:numId w:val="2"/>
        </w:numPr>
      </w:pPr>
      <w:r>
        <w:lastRenderedPageBreak/>
        <w:t>Government incentives for renewable energy and waste reduction</w:t>
      </w:r>
    </w:p>
    <w:p w14:paraId="351DF586" w14:textId="77777777" w:rsidR="00D37098" w:rsidRDefault="00D37098">
      <w:pPr>
        <w:pStyle w:val="MdSpace"/>
        <w:spacing w:after="60"/>
      </w:pPr>
    </w:p>
    <w:p w14:paraId="5960DD03" w14:textId="77777777" w:rsidR="00D37098" w:rsidRDefault="00000000">
      <w:pPr>
        <w:pStyle w:val="MdParagraph"/>
      </w:pPr>
      <w:r>
        <w:rPr>
          <w:rStyle w:val="MdStrong"/>
        </w:rPr>
        <w:t>Technology Drivers:</w:t>
      </w:r>
    </w:p>
    <w:p w14:paraId="740B92EE" w14:textId="77777777" w:rsidR="00D37098" w:rsidRDefault="00000000">
      <w:pPr>
        <w:pStyle w:val="MdListItem"/>
        <w:numPr>
          <w:ilvl w:val="0"/>
          <w:numId w:val="2"/>
        </w:numPr>
      </w:pPr>
      <w:r>
        <w:t>Improved gasification reliability and efficiency</w:t>
      </w:r>
    </w:p>
    <w:p w14:paraId="7B10A24D" w14:textId="77777777" w:rsidR="00D37098" w:rsidRDefault="00000000">
      <w:pPr>
        <w:pStyle w:val="MdListItem"/>
        <w:numPr>
          <w:ilvl w:val="0"/>
          <w:numId w:val="2"/>
        </w:numPr>
      </w:pPr>
      <w:r>
        <w:t>Breakthrough tar removal (</w:t>
      </w:r>
      <w:proofErr w:type="spellStart"/>
      <w:r>
        <w:t>SyngaPure</w:t>
      </w:r>
      <w:proofErr w:type="spellEnd"/>
      <w:r>
        <w:t>™) enabling high-value applications</w:t>
      </w:r>
    </w:p>
    <w:p w14:paraId="482F6F44" w14:textId="77777777" w:rsidR="00D37098" w:rsidRDefault="00000000">
      <w:pPr>
        <w:pStyle w:val="MdListItem"/>
        <w:numPr>
          <w:ilvl w:val="0"/>
          <w:numId w:val="2"/>
        </w:numPr>
      </w:pPr>
      <w:r>
        <w:t>Modular, factory-built systems reducing deployment time and cost</w:t>
      </w:r>
    </w:p>
    <w:p w14:paraId="5ECC50F4" w14:textId="77777777" w:rsidR="00D37098" w:rsidRDefault="00000000">
      <w:pPr>
        <w:pStyle w:val="MdListItem"/>
        <w:numPr>
          <w:ilvl w:val="0"/>
          <w:numId w:val="2"/>
        </w:numPr>
      </w:pPr>
      <w:r>
        <w:t>Digital controls and remote monitoring improving operations</w:t>
      </w:r>
    </w:p>
    <w:p w14:paraId="5F4A84E5" w14:textId="77777777" w:rsidR="00D37098" w:rsidRDefault="00D37098">
      <w:pPr>
        <w:pStyle w:val="MdSpace"/>
        <w:spacing w:after="60"/>
      </w:pPr>
    </w:p>
    <w:p w14:paraId="48D92061" w14:textId="77777777" w:rsidR="00D37098" w:rsidRDefault="00000000">
      <w:pPr>
        <w:pStyle w:val="MdParagraph"/>
      </w:pPr>
      <w:r>
        <w:rPr>
          <w:rStyle w:val="MdStrong"/>
        </w:rPr>
        <w:t>Sustainability Drivers:</w:t>
      </w:r>
    </w:p>
    <w:p w14:paraId="4CBC0540" w14:textId="77777777" w:rsidR="00D37098" w:rsidRDefault="00000000">
      <w:pPr>
        <w:pStyle w:val="MdListItem"/>
        <w:numPr>
          <w:ilvl w:val="0"/>
          <w:numId w:val="2"/>
        </w:numPr>
      </w:pPr>
      <w:r>
        <w:t>Corporate net-zero commitments</w:t>
      </w:r>
    </w:p>
    <w:p w14:paraId="6422442F" w14:textId="77777777" w:rsidR="00D37098" w:rsidRDefault="00000000">
      <w:pPr>
        <w:pStyle w:val="MdListItem"/>
        <w:numPr>
          <w:ilvl w:val="0"/>
          <w:numId w:val="2"/>
        </w:numPr>
      </w:pPr>
      <w:r>
        <w:t>Scope 3 emissions reduction (waste disposal)</w:t>
      </w:r>
    </w:p>
    <w:p w14:paraId="119EBA69" w14:textId="77777777" w:rsidR="00D37098" w:rsidRDefault="00000000">
      <w:pPr>
        <w:pStyle w:val="MdListItem"/>
        <w:numPr>
          <w:ilvl w:val="0"/>
          <w:numId w:val="2"/>
        </w:numPr>
      </w:pPr>
      <w:r>
        <w:t>Circular economy and zero-waste goals</w:t>
      </w:r>
    </w:p>
    <w:p w14:paraId="116200E0" w14:textId="77777777" w:rsidR="00D37098" w:rsidRDefault="00000000">
      <w:pPr>
        <w:pStyle w:val="MdListItem"/>
        <w:numPr>
          <w:ilvl w:val="0"/>
          <w:numId w:val="2"/>
        </w:numPr>
      </w:pPr>
      <w:r>
        <w:t>ESG (Environmental, Social, Governance) reporting requirements</w:t>
      </w:r>
    </w:p>
    <w:p w14:paraId="77C843B9" w14:textId="77777777" w:rsidR="00D37098" w:rsidRDefault="00D37098">
      <w:pPr>
        <w:pStyle w:val="MdSpace"/>
        <w:spacing w:after="60"/>
      </w:pPr>
    </w:p>
    <w:p w14:paraId="58DB12CE" w14:textId="77777777" w:rsidR="00D37098" w:rsidRDefault="00000000">
      <w:pPr>
        <w:pStyle w:val="MdHeading3"/>
      </w:pPr>
      <w:r>
        <w:t>6.3 Competitive Landscape</w:t>
      </w:r>
    </w:p>
    <w:p w14:paraId="676D59C0" w14:textId="77777777" w:rsidR="00D37098" w:rsidRDefault="00000000">
      <w:pPr>
        <w:pStyle w:val="MdParagraph"/>
      </w:pPr>
      <w:r>
        <w:t>The X-150 competes with several alternative technologies:</w:t>
      </w:r>
    </w:p>
    <w:p w14:paraId="691910AF" w14:textId="77777777" w:rsidR="00D37098" w:rsidRDefault="00D37098">
      <w:pPr>
        <w:pStyle w:val="MdSpace"/>
        <w:spacing w:after="60"/>
      </w:pPr>
    </w:p>
    <w:p w14:paraId="01A20609" w14:textId="77777777" w:rsidR="00D37098" w:rsidRDefault="00000000">
      <w:pPr>
        <w:pStyle w:val="MdParagraph"/>
      </w:pPr>
      <w:r>
        <w:rPr>
          <w:rStyle w:val="MdStrong"/>
        </w:rPr>
        <w:t>Incineration/Waste-to-Energy (WTE):</w:t>
      </w:r>
    </w:p>
    <w:p w14:paraId="3FCE2F6E" w14:textId="77777777" w:rsidR="00D37098" w:rsidRDefault="00000000">
      <w:pPr>
        <w:pStyle w:val="MdListItem"/>
        <w:numPr>
          <w:ilvl w:val="0"/>
          <w:numId w:val="2"/>
        </w:numPr>
      </w:pPr>
      <w:r>
        <w:rPr>
          <w:rStyle w:val="MdStrong"/>
        </w:rPr>
        <w:t>Advantages:</w:t>
      </w:r>
      <w:r>
        <w:t xml:space="preserve"> Proven technology, large scale (100,000+ tonnes/year)</w:t>
      </w:r>
    </w:p>
    <w:p w14:paraId="63FE7696" w14:textId="77777777" w:rsidR="00D37098" w:rsidRDefault="00000000">
      <w:pPr>
        <w:pStyle w:val="MdListItem"/>
        <w:numPr>
          <w:ilvl w:val="0"/>
          <w:numId w:val="2"/>
        </w:numPr>
      </w:pPr>
      <w:r>
        <w:rPr>
          <w:rStyle w:val="MdStrong"/>
        </w:rPr>
        <w:t>Disadvantages:</w:t>
      </w:r>
      <w:r>
        <w:t xml:space="preserve"> High capital cost ($100-300M), requires large waste volumes, public opposition, lower efficiency</w:t>
      </w:r>
    </w:p>
    <w:p w14:paraId="341845D0" w14:textId="77777777" w:rsidR="00D37098" w:rsidRDefault="00000000">
      <w:pPr>
        <w:pStyle w:val="MdListItem"/>
        <w:numPr>
          <w:ilvl w:val="0"/>
          <w:numId w:val="2"/>
        </w:numPr>
      </w:pPr>
      <w:r>
        <w:rPr>
          <w:rStyle w:val="MdStrong"/>
        </w:rPr>
        <w:t>X-150 Advantage:</w:t>
      </w:r>
      <w:r>
        <w:t xml:space="preserve"> Distributed scale, modular deployment, cleaner emissions, higher efficiency</w:t>
      </w:r>
    </w:p>
    <w:p w14:paraId="223B16EE" w14:textId="77777777" w:rsidR="00D37098" w:rsidRDefault="00D37098">
      <w:pPr>
        <w:pStyle w:val="MdSpace"/>
        <w:spacing w:after="60"/>
      </w:pPr>
    </w:p>
    <w:p w14:paraId="4FEB5E2F" w14:textId="77777777" w:rsidR="00D37098" w:rsidRDefault="00000000">
      <w:pPr>
        <w:pStyle w:val="MdParagraph"/>
      </w:pPr>
      <w:r>
        <w:rPr>
          <w:rStyle w:val="MdStrong"/>
        </w:rPr>
        <w:t>Anaerobic Digestion (AD):</w:t>
      </w:r>
    </w:p>
    <w:p w14:paraId="138913FC" w14:textId="77777777" w:rsidR="00D37098" w:rsidRDefault="00000000">
      <w:pPr>
        <w:pStyle w:val="MdListItem"/>
        <w:numPr>
          <w:ilvl w:val="0"/>
          <w:numId w:val="2"/>
        </w:numPr>
      </w:pPr>
      <w:r>
        <w:rPr>
          <w:rStyle w:val="MdStrong"/>
        </w:rPr>
        <w:t>Advantages:</w:t>
      </w:r>
      <w:r>
        <w:t xml:space="preserve"> Proven for organic waste, produces biogas</w:t>
      </w:r>
    </w:p>
    <w:p w14:paraId="0CD05509" w14:textId="77777777" w:rsidR="00D37098" w:rsidRDefault="00000000">
      <w:pPr>
        <w:pStyle w:val="MdListItem"/>
        <w:numPr>
          <w:ilvl w:val="0"/>
          <w:numId w:val="2"/>
        </w:numPr>
      </w:pPr>
      <w:r>
        <w:rPr>
          <w:rStyle w:val="MdStrong"/>
        </w:rPr>
        <w:t>Disadvantages:</w:t>
      </w:r>
      <w:r>
        <w:t xml:space="preserve"> Limited feedstock types (only biodegradable organics), slow process (20-30 days), large footprint</w:t>
      </w:r>
    </w:p>
    <w:p w14:paraId="2F5AED5F" w14:textId="77777777" w:rsidR="00D37098" w:rsidRDefault="00000000">
      <w:pPr>
        <w:pStyle w:val="MdListItem"/>
        <w:numPr>
          <w:ilvl w:val="0"/>
          <w:numId w:val="2"/>
        </w:numPr>
      </w:pPr>
      <w:r>
        <w:rPr>
          <w:rStyle w:val="MdStrong"/>
        </w:rPr>
        <w:t>X-150 Advantage:</w:t>
      </w:r>
      <w:r>
        <w:t xml:space="preserve"> Accepts diverse feedstocks including non-biodegradable waste, fast process (hours), compact footprint</w:t>
      </w:r>
    </w:p>
    <w:p w14:paraId="4E512AB4" w14:textId="77777777" w:rsidR="00D37098" w:rsidRDefault="00D37098">
      <w:pPr>
        <w:pStyle w:val="MdSpace"/>
        <w:spacing w:after="60"/>
      </w:pPr>
    </w:p>
    <w:p w14:paraId="1AE02963" w14:textId="77777777" w:rsidR="00D37098" w:rsidRDefault="00000000">
      <w:pPr>
        <w:pStyle w:val="MdParagraph"/>
      </w:pPr>
      <w:r>
        <w:rPr>
          <w:rStyle w:val="MdStrong"/>
        </w:rPr>
        <w:t>Pyrolysis:</w:t>
      </w:r>
    </w:p>
    <w:p w14:paraId="24A08752" w14:textId="77777777" w:rsidR="00D37098" w:rsidRDefault="00000000">
      <w:pPr>
        <w:pStyle w:val="MdListItem"/>
        <w:numPr>
          <w:ilvl w:val="0"/>
          <w:numId w:val="2"/>
        </w:numPr>
      </w:pPr>
      <w:r>
        <w:rPr>
          <w:rStyle w:val="MdStrong"/>
        </w:rPr>
        <w:t>Advantages:</w:t>
      </w:r>
      <w:r>
        <w:t xml:space="preserve"> Produces bio-oil and biochar</w:t>
      </w:r>
    </w:p>
    <w:p w14:paraId="3D740BC9" w14:textId="77777777" w:rsidR="00D37098" w:rsidRDefault="00000000">
      <w:pPr>
        <w:pStyle w:val="MdListItem"/>
        <w:numPr>
          <w:ilvl w:val="0"/>
          <w:numId w:val="2"/>
        </w:numPr>
      </w:pPr>
      <w:r>
        <w:rPr>
          <w:rStyle w:val="MdStrong"/>
        </w:rPr>
        <w:t>Disadvantages:</w:t>
      </w:r>
      <w:r>
        <w:t xml:space="preserve"> Tar contamination in bio-oil, limited commercial deployment</w:t>
      </w:r>
    </w:p>
    <w:p w14:paraId="27F5044C" w14:textId="77777777" w:rsidR="00D37098" w:rsidRDefault="00000000">
      <w:pPr>
        <w:pStyle w:val="MdListItem"/>
        <w:numPr>
          <w:ilvl w:val="0"/>
          <w:numId w:val="2"/>
        </w:numPr>
      </w:pPr>
      <w:r>
        <w:rPr>
          <w:rStyle w:val="MdStrong"/>
        </w:rPr>
        <w:t>X-150 Advantage:</w:t>
      </w:r>
      <w:r>
        <w:t xml:space="preserve"> </w:t>
      </w:r>
      <w:proofErr w:type="spellStart"/>
      <w:r>
        <w:t>SyngaPure</w:t>
      </w:r>
      <w:proofErr w:type="spellEnd"/>
      <w:r>
        <w:t>™ tar removal enables clean syngas for multiple applications, proven operational track record</w:t>
      </w:r>
    </w:p>
    <w:p w14:paraId="7DB2AF1F" w14:textId="77777777" w:rsidR="00D37098" w:rsidRDefault="00D37098">
      <w:pPr>
        <w:pStyle w:val="MdSpace"/>
        <w:spacing w:after="60"/>
      </w:pPr>
    </w:p>
    <w:p w14:paraId="4AF53E75" w14:textId="77777777" w:rsidR="00D37098" w:rsidRDefault="00000000">
      <w:pPr>
        <w:pStyle w:val="MdParagraph"/>
      </w:pPr>
      <w:r>
        <w:rPr>
          <w:rStyle w:val="MdStrong"/>
        </w:rPr>
        <w:t>Competing Gasification Technologies:</w:t>
      </w:r>
    </w:p>
    <w:p w14:paraId="3D69F4A2" w14:textId="77777777" w:rsidR="00D37098" w:rsidRDefault="00000000">
      <w:pPr>
        <w:pStyle w:val="MdListItem"/>
        <w:numPr>
          <w:ilvl w:val="0"/>
          <w:numId w:val="2"/>
        </w:numPr>
      </w:pPr>
      <w:r>
        <w:rPr>
          <w:rStyle w:val="MdStrong"/>
        </w:rPr>
        <w:t>Fluidized Bed Gasifiers:</w:t>
      </w:r>
      <w:r>
        <w:t xml:space="preserve"> Higher capacity but higher tar production</w:t>
      </w:r>
    </w:p>
    <w:p w14:paraId="24DAB46F" w14:textId="77777777" w:rsidR="00D37098" w:rsidRDefault="00000000">
      <w:pPr>
        <w:pStyle w:val="MdListItem"/>
        <w:numPr>
          <w:ilvl w:val="0"/>
          <w:numId w:val="2"/>
        </w:numPr>
      </w:pPr>
      <w:r>
        <w:rPr>
          <w:rStyle w:val="MdStrong"/>
        </w:rPr>
        <w:t>Updraft Gasifiers:</w:t>
      </w:r>
      <w:r>
        <w:t xml:space="preserve"> Simple but very high tar content</w:t>
      </w:r>
    </w:p>
    <w:p w14:paraId="7548C809" w14:textId="77777777" w:rsidR="00D37098" w:rsidRDefault="00000000">
      <w:pPr>
        <w:pStyle w:val="MdListItem"/>
        <w:numPr>
          <w:ilvl w:val="0"/>
          <w:numId w:val="2"/>
        </w:numPr>
      </w:pPr>
      <w:r>
        <w:rPr>
          <w:rStyle w:val="MdStrong"/>
        </w:rPr>
        <w:t>Plasma Gasifiers:</w:t>
      </w:r>
      <w:r>
        <w:t xml:space="preserve"> Very clean but extremely high capital and operating costs</w:t>
      </w:r>
    </w:p>
    <w:p w14:paraId="042EE694" w14:textId="77777777" w:rsidR="00D37098" w:rsidRDefault="00000000">
      <w:pPr>
        <w:pStyle w:val="MdListItem"/>
        <w:numPr>
          <w:ilvl w:val="0"/>
          <w:numId w:val="2"/>
        </w:numPr>
      </w:pPr>
      <w:r>
        <w:rPr>
          <w:rStyle w:val="MdStrong"/>
        </w:rPr>
        <w:lastRenderedPageBreak/>
        <w:t>X-150 Advantage:</w:t>
      </w:r>
      <w:r>
        <w:t xml:space="preserve"> Optimal balance of tar reduction, capital cost, and operational simplicity</w:t>
      </w:r>
    </w:p>
    <w:p w14:paraId="16505F0F" w14:textId="77777777" w:rsidR="00D37098" w:rsidRDefault="00D37098">
      <w:pPr>
        <w:pStyle w:val="MdSpace"/>
        <w:spacing w:after="60"/>
      </w:pPr>
    </w:p>
    <w:p w14:paraId="245B8B22" w14:textId="77777777" w:rsidR="00D37098" w:rsidRDefault="00000000">
      <w:pPr>
        <w:pStyle w:val="MdParagraph"/>
      </w:pPr>
      <w:r>
        <w:rPr>
          <w:rStyle w:val="MdStrong"/>
        </w:rPr>
        <w:t>Key Differentiators:</w:t>
      </w:r>
    </w:p>
    <w:p w14:paraId="66F5522B" w14:textId="77777777" w:rsidR="00D37098" w:rsidRDefault="00000000">
      <w:pPr>
        <w:pStyle w:val="MdListItem"/>
        <w:numPr>
          <w:ilvl w:val="0"/>
          <w:numId w:val="3"/>
        </w:numPr>
      </w:pPr>
      <w:proofErr w:type="spellStart"/>
      <w:r>
        <w:rPr>
          <w:rStyle w:val="MdStrong"/>
        </w:rPr>
        <w:t>SyngaPure</w:t>
      </w:r>
      <w:proofErr w:type="spellEnd"/>
      <w:r>
        <w:rPr>
          <w:rStyle w:val="MdStrong"/>
        </w:rPr>
        <w:t>™ Catalyst:</w:t>
      </w:r>
      <w:r>
        <w:t xml:space="preserve"> Industry-leading 94% tar removal enables applications impossible for competing gasifiers</w:t>
      </w:r>
    </w:p>
    <w:p w14:paraId="6C5E2C03" w14:textId="77777777" w:rsidR="00D37098" w:rsidRDefault="00000000">
      <w:pPr>
        <w:pStyle w:val="MdListItem"/>
        <w:numPr>
          <w:ilvl w:val="0"/>
          <w:numId w:val="3"/>
        </w:numPr>
      </w:pPr>
      <w:r>
        <w:rPr>
          <w:rStyle w:val="MdStrong"/>
        </w:rPr>
        <w:t>Modular Scale:</w:t>
      </w:r>
      <w:r>
        <w:t xml:space="preserve"> 3.6 tonnes/day capacity serves distributed waste sources that large facilities cannot economically address</w:t>
      </w:r>
    </w:p>
    <w:p w14:paraId="73CB5A9C" w14:textId="77777777" w:rsidR="00D37098" w:rsidRDefault="00000000">
      <w:pPr>
        <w:pStyle w:val="MdListItem"/>
        <w:numPr>
          <w:ilvl w:val="0"/>
          <w:numId w:val="3"/>
        </w:numPr>
      </w:pPr>
      <w:r>
        <w:rPr>
          <w:rStyle w:val="MdStrong"/>
        </w:rPr>
        <w:t>Proven Performance:</w:t>
      </w:r>
      <w:r>
        <w:t xml:space="preserve"> 1,300 hours operational validation at Paris facility</w:t>
      </w:r>
    </w:p>
    <w:p w14:paraId="5B6005AF" w14:textId="77777777" w:rsidR="00D37098" w:rsidRDefault="00000000">
      <w:pPr>
        <w:pStyle w:val="MdListItem"/>
        <w:numPr>
          <w:ilvl w:val="0"/>
          <w:numId w:val="3"/>
        </w:numPr>
      </w:pPr>
      <w:r>
        <w:rPr>
          <w:rStyle w:val="MdStrong"/>
        </w:rPr>
        <w:t>German Engineering:</w:t>
      </w:r>
      <w:r>
        <w:t xml:space="preserve"> MFC partnership provides manufacturing credibility and quality</w:t>
      </w:r>
    </w:p>
    <w:p w14:paraId="0DC703E3" w14:textId="77777777" w:rsidR="00D37098" w:rsidRDefault="00000000">
      <w:pPr>
        <w:pStyle w:val="MdListItem"/>
        <w:numPr>
          <w:ilvl w:val="0"/>
          <w:numId w:val="3"/>
        </w:numPr>
      </w:pPr>
      <w:r>
        <w:rPr>
          <w:rStyle w:val="MdStrong"/>
        </w:rPr>
        <w:t>Feedstock Flexibility:</w:t>
      </w:r>
      <w:r>
        <w:t xml:space="preserve"> Accepts diverse waste streams with minimal preparation</w:t>
      </w:r>
    </w:p>
    <w:p w14:paraId="26ECD1DD" w14:textId="77777777" w:rsidR="00D37098" w:rsidRDefault="00000000">
      <w:pPr>
        <w:pStyle w:val="MdListItem"/>
        <w:numPr>
          <w:ilvl w:val="0"/>
          <w:numId w:val="3"/>
        </w:numPr>
      </w:pPr>
      <w:r>
        <w:rPr>
          <w:rStyle w:val="MdStrong"/>
        </w:rPr>
        <w:t>Multiple Revenue Streams:</w:t>
      </w:r>
      <w:r>
        <w:t xml:space="preserve"> Tipping fees + energy sales + carbon credits + biochar</w:t>
      </w:r>
    </w:p>
    <w:p w14:paraId="663BE02D" w14:textId="77777777" w:rsidR="00D37098" w:rsidRDefault="00D37098">
      <w:pPr>
        <w:pStyle w:val="MdSpace"/>
        <w:spacing w:after="60"/>
      </w:pPr>
    </w:p>
    <w:p w14:paraId="221416D6" w14:textId="77777777" w:rsidR="00D37098" w:rsidRDefault="00D37098">
      <w:pPr>
        <w:pStyle w:val="MdHr"/>
        <w:pBdr>
          <w:bottom w:val="single" w:sz="6" w:space="1" w:color="auto"/>
        </w:pBdr>
      </w:pPr>
    </w:p>
    <w:p w14:paraId="77BCC636" w14:textId="77777777" w:rsidR="00D37098" w:rsidRDefault="00D37098">
      <w:pPr>
        <w:pStyle w:val="MdSpace"/>
        <w:spacing w:after="60"/>
      </w:pPr>
    </w:p>
    <w:p w14:paraId="200D07D8" w14:textId="77777777" w:rsidR="00D37098" w:rsidRDefault="00000000">
      <w:pPr>
        <w:pStyle w:val="MdHeading2"/>
      </w:pPr>
      <w:r>
        <w:t>7. Economics &amp; Financial Performance</w:t>
      </w:r>
    </w:p>
    <w:p w14:paraId="2EF2B79F" w14:textId="77777777" w:rsidR="00D37098" w:rsidRDefault="00000000">
      <w:pPr>
        <w:pStyle w:val="MdHeading3"/>
      </w:pPr>
      <w:r>
        <w:t>7.1 Capital Investment (100 Tonne/Day Facility)</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3178"/>
        <w:gridCol w:w="1496"/>
        <w:gridCol w:w="4352"/>
      </w:tblGrid>
      <w:tr w:rsidR="00D37098" w14:paraId="10774DA2" w14:textId="77777777">
        <w:trPr>
          <w:cantSplit/>
          <w:trHeight w:val="720"/>
          <w:tblHeader/>
        </w:trPr>
        <w:tc>
          <w:tcPr>
            <w:tcW w:w="0" w:type="auto"/>
            <w:tcMar>
              <w:top w:w="100" w:type="dxa"/>
              <w:left w:w="120" w:type="dxa"/>
              <w:bottom w:w="100" w:type="dxa"/>
              <w:right w:w="120" w:type="dxa"/>
            </w:tcMar>
            <w:vAlign w:val="center"/>
          </w:tcPr>
          <w:p w14:paraId="307B138C" w14:textId="77777777" w:rsidR="00D37098" w:rsidRDefault="00000000">
            <w:pPr>
              <w:pStyle w:val="MdTableHeader"/>
            </w:pPr>
            <w:r>
              <w:t>Component</w:t>
            </w:r>
          </w:p>
        </w:tc>
        <w:tc>
          <w:tcPr>
            <w:tcW w:w="0" w:type="auto"/>
            <w:tcMar>
              <w:top w:w="100" w:type="dxa"/>
              <w:left w:w="120" w:type="dxa"/>
              <w:bottom w:w="100" w:type="dxa"/>
              <w:right w:w="120" w:type="dxa"/>
            </w:tcMar>
            <w:vAlign w:val="center"/>
          </w:tcPr>
          <w:p w14:paraId="7CA9B1F4" w14:textId="77777777" w:rsidR="00D37098" w:rsidRDefault="00000000">
            <w:pPr>
              <w:pStyle w:val="MdTableHeader"/>
            </w:pPr>
            <w:r>
              <w:t>Cost Range</w:t>
            </w:r>
          </w:p>
        </w:tc>
        <w:tc>
          <w:tcPr>
            <w:tcW w:w="0" w:type="auto"/>
            <w:tcMar>
              <w:top w:w="100" w:type="dxa"/>
              <w:left w:w="120" w:type="dxa"/>
              <w:bottom w:w="100" w:type="dxa"/>
              <w:right w:w="120" w:type="dxa"/>
            </w:tcMar>
            <w:vAlign w:val="center"/>
          </w:tcPr>
          <w:p w14:paraId="151CE484" w14:textId="77777777" w:rsidR="00D37098" w:rsidRDefault="00000000">
            <w:pPr>
              <w:pStyle w:val="MdTableHeader"/>
            </w:pPr>
            <w:r>
              <w:t>Notes</w:t>
            </w:r>
          </w:p>
        </w:tc>
      </w:tr>
      <w:tr w:rsidR="00D37098" w14:paraId="685D38A5" w14:textId="77777777">
        <w:trPr>
          <w:cantSplit/>
          <w:trHeight w:val="576"/>
        </w:trPr>
        <w:tc>
          <w:tcPr>
            <w:tcW w:w="0" w:type="auto"/>
            <w:tcMar>
              <w:top w:w="80" w:type="dxa"/>
              <w:left w:w="120" w:type="dxa"/>
              <w:bottom w:w="80" w:type="dxa"/>
              <w:right w:w="120" w:type="dxa"/>
            </w:tcMar>
            <w:vAlign w:val="center"/>
          </w:tcPr>
          <w:p w14:paraId="4BEA03BC" w14:textId="77777777" w:rsidR="00D37098" w:rsidRDefault="00000000">
            <w:pPr>
              <w:pStyle w:val="MdTableCell"/>
            </w:pPr>
            <w:r>
              <w:rPr>
                <w:rStyle w:val="MdStrong"/>
              </w:rPr>
              <w:t>X-150 Gasifier System</w:t>
            </w:r>
          </w:p>
        </w:tc>
        <w:tc>
          <w:tcPr>
            <w:tcW w:w="0" w:type="auto"/>
            <w:tcMar>
              <w:top w:w="80" w:type="dxa"/>
              <w:left w:w="120" w:type="dxa"/>
              <w:bottom w:w="80" w:type="dxa"/>
              <w:right w:w="120" w:type="dxa"/>
            </w:tcMar>
            <w:vAlign w:val="center"/>
          </w:tcPr>
          <w:p w14:paraId="6B9E32DD" w14:textId="77777777" w:rsidR="00D37098" w:rsidRDefault="00000000">
            <w:pPr>
              <w:pStyle w:val="MdTableCell"/>
            </w:pPr>
            <w:r>
              <w:t>$2.0-2.5M</w:t>
            </w:r>
          </w:p>
        </w:tc>
        <w:tc>
          <w:tcPr>
            <w:tcW w:w="0" w:type="auto"/>
            <w:tcMar>
              <w:top w:w="80" w:type="dxa"/>
              <w:left w:w="120" w:type="dxa"/>
              <w:bottom w:w="80" w:type="dxa"/>
              <w:right w:w="120" w:type="dxa"/>
            </w:tcMar>
            <w:vAlign w:val="center"/>
          </w:tcPr>
          <w:p w14:paraId="2F1233E2" w14:textId="77777777" w:rsidR="00D37098" w:rsidRDefault="00000000">
            <w:pPr>
              <w:pStyle w:val="MdTableCell"/>
            </w:pPr>
            <w:r>
              <w:t>From MFC, factory-built</w:t>
            </w:r>
          </w:p>
        </w:tc>
      </w:tr>
      <w:tr w:rsidR="00D37098" w14:paraId="1AA0FD75" w14:textId="77777777">
        <w:trPr>
          <w:cantSplit/>
          <w:trHeight w:val="576"/>
        </w:trPr>
        <w:tc>
          <w:tcPr>
            <w:tcW w:w="0" w:type="auto"/>
            <w:tcMar>
              <w:top w:w="80" w:type="dxa"/>
              <w:left w:w="120" w:type="dxa"/>
              <w:bottom w:w="80" w:type="dxa"/>
              <w:right w:w="120" w:type="dxa"/>
            </w:tcMar>
            <w:vAlign w:val="center"/>
          </w:tcPr>
          <w:p w14:paraId="5B530016" w14:textId="77777777" w:rsidR="00D37098" w:rsidRDefault="00000000">
            <w:pPr>
              <w:pStyle w:val="MdTableCell"/>
            </w:pPr>
            <w:proofErr w:type="spellStart"/>
            <w:r>
              <w:rPr>
                <w:rStyle w:val="MdStrong"/>
              </w:rPr>
              <w:t>SyngaPure</w:t>
            </w:r>
            <w:proofErr w:type="spellEnd"/>
            <w:r>
              <w:rPr>
                <w:rStyle w:val="MdStrong"/>
              </w:rPr>
              <w:t>™ Catalyst System</w:t>
            </w:r>
          </w:p>
        </w:tc>
        <w:tc>
          <w:tcPr>
            <w:tcW w:w="0" w:type="auto"/>
            <w:tcMar>
              <w:top w:w="80" w:type="dxa"/>
              <w:left w:w="120" w:type="dxa"/>
              <w:bottom w:w="80" w:type="dxa"/>
              <w:right w:w="120" w:type="dxa"/>
            </w:tcMar>
            <w:vAlign w:val="center"/>
          </w:tcPr>
          <w:p w14:paraId="1A372649" w14:textId="77777777" w:rsidR="00D37098" w:rsidRDefault="00000000">
            <w:pPr>
              <w:pStyle w:val="MdTableCell"/>
            </w:pPr>
            <w:r>
              <w:t>$0.3-0.5M</w:t>
            </w:r>
          </w:p>
        </w:tc>
        <w:tc>
          <w:tcPr>
            <w:tcW w:w="0" w:type="auto"/>
            <w:tcMar>
              <w:top w:w="80" w:type="dxa"/>
              <w:left w:w="120" w:type="dxa"/>
              <w:bottom w:w="80" w:type="dxa"/>
              <w:right w:w="120" w:type="dxa"/>
            </w:tcMar>
            <w:vAlign w:val="center"/>
          </w:tcPr>
          <w:p w14:paraId="50C46D46" w14:textId="77777777" w:rsidR="00D37098" w:rsidRDefault="00000000">
            <w:pPr>
              <w:pStyle w:val="MdTableCell"/>
            </w:pPr>
            <w:r>
              <w:t>From Zero-X, integrated downstream</w:t>
            </w:r>
          </w:p>
        </w:tc>
      </w:tr>
      <w:tr w:rsidR="00D37098" w14:paraId="50184AF9" w14:textId="77777777">
        <w:trPr>
          <w:cantSplit/>
          <w:trHeight w:val="576"/>
        </w:trPr>
        <w:tc>
          <w:tcPr>
            <w:tcW w:w="0" w:type="auto"/>
            <w:tcMar>
              <w:top w:w="80" w:type="dxa"/>
              <w:left w:w="120" w:type="dxa"/>
              <w:bottom w:w="80" w:type="dxa"/>
              <w:right w:w="120" w:type="dxa"/>
            </w:tcMar>
            <w:vAlign w:val="center"/>
          </w:tcPr>
          <w:p w14:paraId="2D2841FA" w14:textId="77777777" w:rsidR="00D37098" w:rsidRDefault="00000000">
            <w:pPr>
              <w:pStyle w:val="MdTableCell"/>
            </w:pPr>
            <w:r>
              <w:rPr>
                <w:rStyle w:val="MdStrong"/>
              </w:rPr>
              <w:t>Balance of Plant</w:t>
            </w:r>
          </w:p>
        </w:tc>
        <w:tc>
          <w:tcPr>
            <w:tcW w:w="0" w:type="auto"/>
            <w:tcMar>
              <w:top w:w="80" w:type="dxa"/>
              <w:left w:w="120" w:type="dxa"/>
              <w:bottom w:w="80" w:type="dxa"/>
              <w:right w:w="120" w:type="dxa"/>
            </w:tcMar>
            <w:vAlign w:val="center"/>
          </w:tcPr>
          <w:p w14:paraId="7C77F0CE" w14:textId="77777777" w:rsidR="00D37098" w:rsidRDefault="00000000">
            <w:pPr>
              <w:pStyle w:val="MdTableCell"/>
            </w:pPr>
            <w:r>
              <w:t>$0.5-1.0M</w:t>
            </w:r>
          </w:p>
        </w:tc>
        <w:tc>
          <w:tcPr>
            <w:tcW w:w="0" w:type="auto"/>
            <w:tcMar>
              <w:top w:w="80" w:type="dxa"/>
              <w:left w:w="120" w:type="dxa"/>
              <w:bottom w:w="80" w:type="dxa"/>
              <w:right w:w="120" w:type="dxa"/>
            </w:tcMar>
            <w:vAlign w:val="center"/>
          </w:tcPr>
          <w:p w14:paraId="205DF8A3" w14:textId="77777777" w:rsidR="00D37098" w:rsidRDefault="00000000">
            <w:pPr>
              <w:pStyle w:val="MdTableCell"/>
            </w:pPr>
            <w:r>
              <w:t>Feedstock handling, ash removal, controls</w:t>
            </w:r>
          </w:p>
        </w:tc>
      </w:tr>
      <w:tr w:rsidR="00D37098" w14:paraId="1AD7143D" w14:textId="77777777">
        <w:trPr>
          <w:cantSplit/>
          <w:trHeight w:val="576"/>
        </w:trPr>
        <w:tc>
          <w:tcPr>
            <w:tcW w:w="0" w:type="auto"/>
            <w:tcMar>
              <w:top w:w="80" w:type="dxa"/>
              <w:left w:w="120" w:type="dxa"/>
              <w:bottom w:w="80" w:type="dxa"/>
              <w:right w:w="120" w:type="dxa"/>
            </w:tcMar>
            <w:vAlign w:val="center"/>
          </w:tcPr>
          <w:p w14:paraId="4F01106B" w14:textId="77777777" w:rsidR="00D37098" w:rsidRDefault="00000000">
            <w:pPr>
              <w:pStyle w:val="MdTableCell"/>
            </w:pPr>
            <w:r>
              <w:rPr>
                <w:rStyle w:val="MdStrong"/>
              </w:rPr>
              <w:t>Installation &amp; Commissioning</w:t>
            </w:r>
          </w:p>
        </w:tc>
        <w:tc>
          <w:tcPr>
            <w:tcW w:w="0" w:type="auto"/>
            <w:tcMar>
              <w:top w:w="80" w:type="dxa"/>
              <w:left w:w="120" w:type="dxa"/>
              <w:bottom w:w="80" w:type="dxa"/>
              <w:right w:w="120" w:type="dxa"/>
            </w:tcMar>
            <w:vAlign w:val="center"/>
          </w:tcPr>
          <w:p w14:paraId="76DFAA2A" w14:textId="77777777" w:rsidR="00D37098" w:rsidRDefault="00000000">
            <w:pPr>
              <w:pStyle w:val="MdTableCell"/>
            </w:pPr>
            <w:r>
              <w:t>$0.5-1.0M</w:t>
            </w:r>
          </w:p>
        </w:tc>
        <w:tc>
          <w:tcPr>
            <w:tcW w:w="0" w:type="auto"/>
            <w:tcMar>
              <w:top w:w="80" w:type="dxa"/>
              <w:left w:w="120" w:type="dxa"/>
              <w:bottom w:w="80" w:type="dxa"/>
              <w:right w:w="120" w:type="dxa"/>
            </w:tcMar>
            <w:vAlign w:val="center"/>
          </w:tcPr>
          <w:p w14:paraId="7D901087" w14:textId="77777777" w:rsidR="00D37098" w:rsidRDefault="00000000">
            <w:pPr>
              <w:pStyle w:val="MdTableCell"/>
            </w:pPr>
            <w:r>
              <w:t>Site preparation, integration, testing</w:t>
            </w:r>
          </w:p>
        </w:tc>
      </w:tr>
      <w:tr w:rsidR="00D37098" w14:paraId="1D7C1AB1"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4830321D" w14:textId="77777777" w:rsidR="00D37098" w:rsidRDefault="00000000">
            <w:pPr>
              <w:pStyle w:val="MdTableCell"/>
            </w:pPr>
            <w:r>
              <w:rPr>
                <w:rStyle w:val="MdStrong"/>
              </w:rPr>
              <w:t xml:space="preserve">Total </w:t>
            </w:r>
            <w:proofErr w:type="spellStart"/>
            <w:r>
              <w:rPr>
                <w:rStyle w:val="MdStrong"/>
              </w:rPr>
              <w:t>CapEx</w:t>
            </w:r>
            <w:proofErr w:type="spellEnd"/>
          </w:p>
        </w:tc>
        <w:tc>
          <w:tcPr>
            <w:tcW w:w="0" w:type="auto"/>
            <w:tcBorders>
              <w:bottom w:val="single" w:sz="4" w:space="0" w:color="E1E4E8"/>
            </w:tcBorders>
            <w:tcMar>
              <w:top w:w="80" w:type="dxa"/>
              <w:left w:w="120" w:type="dxa"/>
              <w:bottom w:w="80" w:type="dxa"/>
              <w:right w:w="120" w:type="dxa"/>
            </w:tcMar>
            <w:vAlign w:val="center"/>
          </w:tcPr>
          <w:p w14:paraId="7BFF6716" w14:textId="77777777" w:rsidR="00D37098" w:rsidRDefault="00000000">
            <w:pPr>
              <w:pStyle w:val="MdTableCell"/>
            </w:pPr>
            <w:r>
              <w:rPr>
                <w:rStyle w:val="MdStrong"/>
              </w:rPr>
              <w:t>$3.3-5.0M</w:t>
            </w:r>
          </w:p>
        </w:tc>
        <w:tc>
          <w:tcPr>
            <w:tcW w:w="0" w:type="auto"/>
            <w:tcBorders>
              <w:bottom w:val="single" w:sz="4" w:space="0" w:color="E1E4E8"/>
            </w:tcBorders>
            <w:tcMar>
              <w:top w:w="80" w:type="dxa"/>
              <w:left w:w="120" w:type="dxa"/>
              <w:bottom w:w="80" w:type="dxa"/>
              <w:right w:w="120" w:type="dxa"/>
            </w:tcMar>
            <w:vAlign w:val="center"/>
          </w:tcPr>
          <w:p w14:paraId="1022AE0E" w14:textId="77777777" w:rsidR="00D37098" w:rsidRDefault="00000000">
            <w:pPr>
              <w:pStyle w:val="MdTableCell"/>
            </w:pPr>
            <w:r>
              <w:t>Varies with configuration and site conditions</w:t>
            </w:r>
          </w:p>
        </w:tc>
      </w:tr>
    </w:tbl>
    <w:p w14:paraId="3D18B658" w14:textId="77777777" w:rsidR="00D37098" w:rsidRDefault="00000000">
      <w:pPr>
        <w:pStyle w:val="MdParagraph"/>
      </w:pPr>
      <w:r>
        <w:rPr>
          <w:rStyle w:val="MdStrong"/>
        </w:rPr>
        <w:t>Configuration-Specific Additions:</w:t>
      </w:r>
    </w:p>
    <w:p w14:paraId="781810BA" w14:textId="77777777" w:rsidR="00D37098" w:rsidRDefault="00000000">
      <w:pPr>
        <w:pStyle w:val="MdListItem"/>
        <w:numPr>
          <w:ilvl w:val="0"/>
          <w:numId w:val="2"/>
        </w:numPr>
      </w:pPr>
      <w:r>
        <w:rPr>
          <w:rStyle w:val="MdStrong"/>
        </w:rPr>
        <w:t>VOLT (ICE):</w:t>
      </w:r>
      <w:r>
        <w:t xml:space="preserve"> +$0.3-0.5M for engine-generator</w:t>
      </w:r>
    </w:p>
    <w:p w14:paraId="4E46A9B4" w14:textId="77777777" w:rsidR="00D37098" w:rsidRDefault="00000000">
      <w:pPr>
        <w:pStyle w:val="MdListItem"/>
        <w:numPr>
          <w:ilvl w:val="0"/>
          <w:numId w:val="2"/>
        </w:numPr>
      </w:pPr>
      <w:r>
        <w:rPr>
          <w:rStyle w:val="MdStrong"/>
        </w:rPr>
        <w:t>VOLT (SOFC):</w:t>
      </w:r>
      <w:r>
        <w:t xml:space="preserve"> +$1.5-2.5M for fuel cell system</w:t>
      </w:r>
    </w:p>
    <w:p w14:paraId="07E93B3B" w14:textId="77777777" w:rsidR="00D37098" w:rsidRDefault="00000000">
      <w:pPr>
        <w:pStyle w:val="MdListItem"/>
        <w:numPr>
          <w:ilvl w:val="0"/>
          <w:numId w:val="2"/>
        </w:numPr>
      </w:pPr>
      <w:r>
        <w:rPr>
          <w:rStyle w:val="MdStrong"/>
        </w:rPr>
        <w:t>HEAT:</w:t>
      </w:r>
      <w:r>
        <w:t xml:space="preserve"> Minimal additional cost (direct combustion)</w:t>
      </w:r>
    </w:p>
    <w:p w14:paraId="1991FBEF" w14:textId="77777777" w:rsidR="00D37098" w:rsidRDefault="00000000">
      <w:pPr>
        <w:pStyle w:val="MdListItem"/>
        <w:numPr>
          <w:ilvl w:val="0"/>
          <w:numId w:val="2"/>
        </w:numPr>
      </w:pPr>
      <w:r>
        <w:rPr>
          <w:rStyle w:val="MdStrong"/>
        </w:rPr>
        <w:t>CHILL:</w:t>
      </w:r>
      <w:r>
        <w:t xml:space="preserve"> +$0.4-0.8M for absorption chiller</w:t>
      </w:r>
    </w:p>
    <w:p w14:paraId="107ACDD4" w14:textId="77777777" w:rsidR="00D37098" w:rsidRDefault="00000000">
      <w:pPr>
        <w:pStyle w:val="MdListItem"/>
        <w:numPr>
          <w:ilvl w:val="0"/>
          <w:numId w:val="2"/>
        </w:numPr>
      </w:pPr>
      <w:r>
        <w:rPr>
          <w:rStyle w:val="MdStrong"/>
        </w:rPr>
        <w:t>H₂:</w:t>
      </w:r>
      <w:r>
        <w:t xml:space="preserve"> +$1.0-2.0M for water-gas shift and PSA</w:t>
      </w:r>
    </w:p>
    <w:p w14:paraId="5236F4DD" w14:textId="77777777" w:rsidR="00D37098" w:rsidRDefault="00000000">
      <w:pPr>
        <w:pStyle w:val="MdListItem"/>
        <w:numPr>
          <w:ilvl w:val="0"/>
          <w:numId w:val="2"/>
        </w:numPr>
      </w:pPr>
      <w:r>
        <w:rPr>
          <w:rStyle w:val="MdStrong"/>
        </w:rPr>
        <w:lastRenderedPageBreak/>
        <w:t>SAF:</w:t>
      </w:r>
      <w:r>
        <w:t xml:space="preserve"> +$5-10M for Fischer-Tropsch synthesis (requires multiple X-150 units for economic scale)</w:t>
      </w:r>
    </w:p>
    <w:p w14:paraId="215C9AA1" w14:textId="77777777" w:rsidR="00D37098" w:rsidRDefault="00000000">
      <w:pPr>
        <w:pStyle w:val="MdListItem"/>
        <w:numPr>
          <w:ilvl w:val="0"/>
          <w:numId w:val="2"/>
        </w:numPr>
      </w:pPr>
      <w:r>
        <w:rPr>
          <w:rStyle w:val="MdStrong"/>
        </w:rPr>
        <w:t>RNG:</w:t>
      </w:r>
      <w:r>
        <w:t xml:space="preserve"> +$0.8-1.5M for methanation and cleanup</w:t>
      </w:r>
    </w:p>
    <w:p w14:paraId="78A4CBE1" w14:textId="77777777" w:rsidR="00D37098" w:rsidRDefault="00D37098">
      <w:pPr>
        <w:pStyle w:val="MdSpace"/>
        <w:spacing w:after="60"/>
      </w:pPr>
    </w:p>
    <w:p w14:paraId="652E7C2F" w14:textId="77777777" w:rsidR="00D37098" w:rsidRDefault="00000000">
      <w:pPr>
        <w:pStyle w:val="MdHeading3"/>
      </w:pPr>
      <w:r>
        <w:t>7.2 Operating Costs (Annual, 100 Tonne/Day Facility)</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959"/>
        <w:gridCol w:w="1463"/>
        <w:gridCol w:w="4604"/>
      </w:tblGrid>
      <w:tr w:rsidR="00D37098" w14:paraId="2F05947C" w14:textId="77777777">
        <w:trPr>
          <w:cantSplit/>
          <w:trHeight w:val="720"/>
          <w:tblHeader/>
        </w:trPr>
        <w:tc>
          <w:tcPr>
            <w:tcW w:w="0" w:type="auto"/>
            <w:tcMar>
              <w:top w:w="100" w:type="dxa"/>
              <w:left w:w="120" w:type="dxa"/>
              <w:bottom w:w="100" w:type="dxa"/>
              <w:right w:w="120" w:type="dxa"/>
            </w:tcMar>
            <w:vAlign w:val="center"/>
          </w:tcPr>
          <w:p w14:paraId="435F043F" w14:textId="77777777" w:rsidR="00D37098" w:rsidRDefault="00000000">
            <w:pPr>
              <w:pStyle w:val="MdTableHeader"/>
            </w:pPr>
            <w:r>
              <w:t>Category</w:t>
            </w:r>
          </w:p>
        </w:tc>
        <w:tc>
          <w:tcPr>
            <w:tcW w:w="0" w:type="auto"/>
            <w:tcMar>
              <w:top w:w="100" w:type="dxa"/>
              <w:left w:w="120" w:type="dxa"/>
              <w:bottom w:w="100" w:type="dxa"/>
              <w:right w:w="120" w:type="dxa"/>
            </w:tcMar>
            <w:vAlign w:val="center"/>
          </w:tcPr>
          <w:p w14:paraId="2F32B151" w14:textId="77777777" w:rsidR="00D37098" w:rsidRDefault="00000000">
            <w:pPr>
              <w:pStyle w:val="MdTableHeader"/>
            </w:pPr>
            <w:r>
              <w:t>Cost Range</w:t>
            </w:r>
          </w:p>
        </w:tc>
        <w:tc>
          <w:tcPr>
            <w:tcW w:w="0" w:type="auto"/>
            <w:tcMar>
              <w:top w:w="100" w:type="dxa"/>
              <w:left w:w="120" w:type="dxa"/>
              <w:bottom w:w="100" w:type="dxa"/>
              <w:right w:w="120" w:type="dxa"/>
            </w:tcMar>
            <w:vAlign w:val="center"/>
          </w:tcPr>
          <w:p w14:paraId="46C92E64" w14:textId="77777777" w:rsidR="00D37098" w:rsidRDefault="00000000">
            <w:pPr>
              <w:pStyle w:val="MdTableHeader"/>
            </w:pPr>
            <w:r>
              <w:t>Notes</w:t>
            </w:r>
          </w:p>
        </w:tc>
      </w:tr>
      <w:tr w:rsidR="00D37098" w14:paraId="41DE6CC3" w14:textId="77777777">
        <w:trPr>
          <w:cantSplit/>
          <w:trHeight w:val="576"/>
        </w:trPr>
        <w:tc>
          <w:tcPr>
            <w:tcW w:w="0" w:type="auto"/>
            <w:tcMar>
              <w:top w:w="80" w:type="dxa"/>
              <w:left w:w="120" w:type="dxa"/>
              <w:bottom w:w="80" w:type="dxa"/>
              <w:right w:w="120" w:type="dxa"/>
            </w:tcMar>
            <w:vAlign w:val="center"/>
          </w:tcPr>
          <w:p w14:paraId="041E30F1" w14:textId="77777777" w:rsidR="00D37098" w:rsidRDefault="00000000">
            <w:pPr>
              <w:pStyle w:val="MdTableCell"/>
            </w:pPr>
            <w:r>
              <w:rPr>
                <w:rStyle w:val="MdStrong"/>
              </w:rPr>
              <w:t>Labor</w:t>
            </w:r>
          </w:p>
        </w:tc>
        <w:tc>
          <w:tcPr>
            <w:tcW w:w="0" w:type="auto"/>
            <w:tcMar>
              <w:top w:w="80" w:type="dxa"/>
              <w:left w:w="120" w:type="dxa"/>
              <w:bottom w:w="80" w:type="dxa"/>
              <w:right w:w="120" w:type="dxa"/>
            </w:tcMar>
            <w:vAlign w:val="center"/>
          </w:tcPr>
          <w:p w14:paraId="15484381" w14:textId="77777777" w:rsidR="00D37098" w:rsidRDefault="00000000">
            <w:pPr>
              <w:pStyle w:val="MdTableCell"/>
            </w:pPr>
            <w:r>
              <w:t>$150-200K</w:t>
            </w:r>
          </w:p>
        </w:tc>
        <w:tc>
          <w:tcPr>
            <w:tcW w:w="0" w:type="auto"/>
            <w:tcMar>
              <w:top w:w="80" w:type="dxa"/>
              <w:left w:w="120" w:type="dxa"/>
              <w:bottom w:w="80" w:type="dxa"/>
              <w:right w:w="120" w:type="dxa"/>
            </w:tcMar>
            <w:vAlign w:val="center"/>
          </w:tcPr>
          <w:p w14:paraId="105256F3" w14:textId="77777777" w:rsidR="00D37098" w:rsidRDefault="00000000">
            <w:pPr>
              <w:pStyle w:val="MdTableCell"/>
            </w:pPr>
            <w:r>
              <w:t>3-4 operators (24/7 coverage)</w:t>
            </w:r>
          </w:p>
        </w:tc>
      </w:tr>
      <w:tr w:rsidR="00D37098" w14:paraId="2F06D707" w14:textId="77777777">
        <w:trPr>
          <w:cantSplit/>
          <w:trHeight w:val="576"/>
        </w:trPr>
        <w:tc>
          <w:tcPr>
            <w:tcW w:w="0" w:type="auto"/>
            <w:tcMar>
              <w:top w:w="80" w:type="dxa"/>
              <w:left w:w="120" w:type="dxa"/>
              <w:bottom w:w="80" w:type="dxa"/>
              <w:right w:w="120" w:type="dxa"/>
            </w:tcMar>
            <w:vAlign w:val="center"/>
          </w:tcPr>
          <w:p w14:paraId="0CFF4F6E" w14:textId="77777777" w:rsidR="00D37098" w:rsidRDefault="00000000">
            <w:pPr>
              <w:pStyle w:val="MdTableCell"/>
            </w:pPr>
            <w:r>
              <w:rPr>
                <w:rStyle w:val="MdStrong"/>
              </w:rPr>
              <w:t>Catalyst Replacement</w:t>
            </w:r>
          </w:p>
        </w:tc>
        <w:tc>
          <w:tcPr>
            <w:tcW w:w="0" w:type="auto"/>
            <w:tcMar>
              <w:top w:w="80" w:type="dxa"/>
              <w:left w:w="120" w:type="dxa"/>
              <w:bottom w:w="80" w:type="dxa"/>
              <w:right w:w="120" w:type="dxa"/>
            </w:tcMar>
            <w:vAlign w:val="center"/>
          </w:tcPr>
          <w:p w14:paraId="3996F997" w14:textId="77777777" w:rsidR="00D37098" w:rsidRDefault="00000000">
            <w:pPr>
              <w:pStyle w:val="MdTableCell"/>
            </w:pPr>
            <w:r>
              <w:t>$50-80K</w:t>
            </w:r>
          </w:p>
        </w:tc>
        <w:tc>
          <w:tcPr>
            <w:tcW w:w="0" w:type="auto"/>
            <w:tcMar>
              <w:top w:w="80" w:type="dxa"/>
              <w:left w:w="120" w:type="dxa"/>
              <w:bottom w:w="80" w:type="dxa"/>
              <w:right w:w="120" w:type="dxa"/>
            </w:tcMar>
            <w:vAlign w:val="center"/>
          </w:tcPr>
          <w:p w14:paraId="6FF1EC65" w14:textId="77777777" w:rsidR="00D37098" w:rsidRDefault="00000000">
            <w:pPr>
              <w:pStyle w:val="MdTableCell"/>
            </w:pPr>
            <w:proofErr w:type="spellStart"/>
            <w:r>
              <w:t>SyngaPure</w:t>
            </w:r>
            <w:proofErr w:type="spellEnd"/>
            <w:r>
              <w:t>™ platinum catalyst (6-12 month life)</w:t>
            </w:r>
          </w:p>
        </w:tc>
      </w:tr>
      <w:tr w:rsidR="00D37098" w14:paraId="5E5EB550" w14:textId="77777777">
        <w:trPr>
          <w:cantSplit/>
          <w:trHeight w:val="576"/>
        </w:trPr>
        <w:tc>
          <w:tcPr>
            <w:tcW w:w="0" w:type="auto"/>
            <w:tcMar>
              <w:top w:w="80" w:type="dxa"/>
              <w:left w:w="120" w:type="dxa"/>
              <w:bottom w:w="80" w:type="dxa"/>
              <w:right w:w="120" w:type="dxa"/>
            </w:tcMar>
            <w:vAlign w:val="center"/>
          </w:tcPr>
          <w:p w14:paraId="3473F698" w14:textId="77777777" w:rsidR="00D37098" w:rsidRDefault="00000000">
            <w:pPr>
              <w:pStyle w:val="MdTableCell"/>
            </w:pPr>
            <w:r>
              <w:rPr>
                <w:rStyle w:val="MdStrong"/>
              </w:rPr>
              <w:t>Maintenance &amp; Parts</w:t>
            </w:r>
          </w:p>
        </w:tc>
        <w:tc>
          <w:tcPr>
            <w:tcW w:w="0" w:type="auto"/>
            <w:tcMar>
              <w:top w:w="80" w:type="dxa"/>
              <w:left w:w="120" w:type="dxa"/>
              <w:bottom w:w="80" w:type="dxa"/>
              <w:right w:w="120" w:type="dxa"/>
            </w:tcMar>
            <w:vAlign w:val="center"/>
          </w:tcPr>
          <w:p w14:paraId="5FC7F0E5" w14:textId="77777777" w:rsidR="00D37098" w:rsidRDefault="00000000">
            <w:pPr>
              <w:pStyle w:val="MdTableCell"/>
            </w:pPr>
            <w:r>
              <w:t>$80-120K</w:t>
            </w:r>
          </w:p>
        </w:tc>
        <w:tc>
          <w:tcPr>
            <w:tcW w:w="0" w:type="auto"/>
            <w:tcMar>
              <w:top w:w="80" w:type="dxa"/>
              <w:left w:w="120" w:type="dxa"/>
              <w:bottom w:w="80" w:type="dxa"/>
              <w:right w:w="120" w:type="dxa"/>
            </w:tcMar>
            <w:vAlign w:val="center"/>
          </w:tcPr>
          <w:p w14:paraId="14716C91" w14:textId="77777777" w:rsidR="00D37098" w:rsidRDefault="00000000">
            <w:pPr>
              <w:pStyle w:val="MdTableCell"/>
            </w:pPr>
            <w:r>
              <w:t>Gasifier refractory, filters, engine/turbine service</w:t>
            </w:r>
          </w:p>
        </w:tc>
      </w:tr>
      <w:tr w:rsidR="00D37098" w14:paraId="1E160343" w14:textId="77777777">
        <w:trPr>
          <w:cantSplit/>
          <w:trHeight w:val="576"/>
        </w:trPr>
        <w:tc>
          <w:tcPr>
            <w:tcW w:w="0" w:type="auto"/>
            <w:tcMar>
              <w:top w:w="80" w:type="dxa"/>
              <w:left w:w="120" w:type="dxa"/>
              <w:bottom w:w="80" w:type="dxa"/>
              <w:right w:w="120" w:type="dxa"/>
            </w:tcMar>
            <w:vAlign w:val="center"/>
          </w:tcPr>
          <w:p w14:paraId="725EB891" w14:textId="77777777" w:rsidR="00D37098" w:rsidRDefault="00000000">
            <w:pPr>
              <w:pStyle w:val="MdTableCell"/>
            </w:pPr>
            <w:r>
              <w:rPr>
                <w:rStyle w:val="MdStrong"/>
              </w:rPr>
              <w:t>Utilities &amp; Consumables</w:t>
            </w:r>
          </w:p>
        </w:tc>
        <w:tc>
          <w:tcPr>
            <w:tcW w:w="0" w:type="auto"/>
            <w:tcMar>
              <w:top w:w="80" w:type="dxa"/>
              <w:left w:w="120" w:type="dxa"/>
              <w:bottom w:w="80" w:type="dxa"/>
              <w:right w:w="120" w:type="dxa"/>
            </w:tcMar>
            <w:vAlign w:val="center"/>
          </w:tcPr>
          <w:p w14:paraId="36DB9234" w14:textId="77777777" w:rsidR="00D37098" w:rsidRDefault="00000000">
            <w:pPr>
              <w:pStyle w:val="MdTableCell"/>
            </w:pPr>
            <w:r>
              <w:t>$30-50K</w:t>
            </w:r>
          </w:p>
        </w:tc>
        <w:tc>
          <w:tcPr>
            <w:tcW w:w="0" w:type="auto"/>
            <w:tcMar>
              <w:top w:w="80" w:type="dxa"/>
              <w:left w:w="120" w:type="dxa"/>
              <w:bottom w:w="80" w:type="dxa"/>
              <w:right w:w="120" w:type="dxa"/>
            </w:tcMar>
            <w:vAlign w:val="center"/>
          </w:tcPr>
          <w:p w14:paraId="2084B4BA" w14:textId="77777777" w:rsidR="00D37098" w:rsidRDefault="00000000">
            <w:pPr>
              <w:pStyle w:val="MdTableCell"/>
            </w:pPr>
            <w:r>
              <w:t>Electricity (startup), water, chemicals</w:t>
            </w:r>
          </w:p>
        </w:tc>
      </w:tr>
      <w:tr w:rsidR="00D37098" w14:paraId="4691F4B7" w14:textId="77777777">
        <w:trPr>
          <w:cantSplit/>
          <w:trHeight w:val="576"/>
        </w:trPr>
        <w:tc>
          <w:tcPr>
            <w:tcW w:w="0" w:type="auto"/>
            <w:tcMar>
              <w:top w:w="80" w:type="dxa"/>
              <w:left w:w="120" w:type="dxa"/>
              <w:bottom w:w="80" w:type="dxa"/>
              <w:right w:w="120" w:type="dxa"/>
            </w:tcMar>
            <w:vAlign w:val="center"/>
          </w:tcPr>
          <w:p w14:paraId="4D87E3F3" w14:textId="77777777" w:rsidR="00D37098" w:rsidRDefault="00000000">
            <w:pPr>
              <w:pStyle w:val="MdTableCell"/>
            </w:pPr>
            <w:r>
              <w:rPr>
                <w:rStyle w:val="MdStrong"/>
              </w:rPr>
              <w:t>Insurance &amp; Administration</w:t>
            </w:r>
          </w:p>
        </w:tc>
        <w:tc>
          <w:tcPr>
            <w:tcW w:w="0" w:type="auto"/>
            <w:tcMar>
              <w:top w:w="80" w:type="dxa"/>
              <w:left w:w="120" w:type="dxa"/>
              <w:bottom w:w="80" w:type="dxa"/>
              <w:right w:w="120" w:type="dxa"/>
            </w:tcMar>
            <w:vAlign w:val="center"/>
          </w:tcPr>
          <w:p w14:paraId="7140CD79" w14:textId="77777777" w:rsidR="00D37098" w:rsidRDefault="00000000">
            <w:pPr>
              <w:pStyle w:val="MdTableCell"/>
            </w:pPr>
            <w:r>
              <w:t>$20-30K</w:t>
            </w:r>
          </w:p>
        </w:tc>
        <w:tc>
          <w:tcPr>
            <w:tcW w:w="0" w:type="auto"/>
            <w:tcMar>
              <w:top w:w="80" w:type="dxa"/>
              <w:left w:w="120" w:type="dxa"/>
              <w:bottom w:w="80" w:type="dxa"/>
              <w:right w:w="120" w:type="dxa"/>
            </w:tcMar>
            <w:vAlign w:val="center"/>
          </w:tcPr>
          <w:p w14:paraId="5E177FE2" w14:textId="77777777" w:rsidR="00D37098" w:rsidRDefault="00000000">
            <w:pPr>
              <w:pStyle w:val="MdTableCell"/>
            </w:pPr>
            <w:r>
              <w:t>Liability, property, management</w:t>
            </w:r>
          </w:p>
        </w:tc>
      </w:tr>
      <w:tr w:rsidR="00D37098" w14:paraId="43406B63"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6865F4BB" w14:textId="77777777" w:rsidR="00D37098" w:rsidRDefault="00000000">
            <w:pPr>
              <w:pStyle w:val="MdTableCell"/>
            </w:pPr>
            <w:r>
              <w:rPr>
                <w:rStyle w:val="MdStrong"/>
              </w:rPr>
              <w:t xml:space="preserve">Total </w:t>
            </w:r>
            <w:proofErr w:type="spellStart"/>
            <w:r>
              <w:rPr>
                <w:rStyle w:val="MdStrong"/>
              </w:rPr>
              <w:t>OpEx</w:t>
            </w:r>
            <w:proofErr w:type="spellEnd"/>
          </w:p>
        </w:tc>
        <w:tc>
          <w:tcPr>
            <w:tcW w:w="0" w:type="auto"/>
            <w:tcBorders>
              <w:bottom w:val="single" w:sz="4" w:space="0" w:color="E1E4E8"/>
            </w:tcBorders>
            <w:tcMar>
              <w:top w:w="80" w:type="dxa"/>
              <w:left w:w="120" w:type="dxa"/>
              <w:bottom w:w="80" w:type="dxa"/>
              <w:right w:w="120" w:type="dxa"/>
            </w:tcMar>
            <w:vAlign w:val="center"/>
          </w:tcPr>
          <w:p w14:paraId="2A6AAB7C" w14:textId="77777777" w:rsidR="00D37098" w:rsidRDefault="00000000">
            <w:pPr>
              <w:pStyle w:val="MdTableCell"/>
            </w:pPr>
            <w:r>
              <w:rPr>
                <w:rStyle w:val="MdStrong"/>
              </w:rPr>
              <w:t>$330-480K</w:t>
            </w:r>
          </w:p>
        </w:tc>
        <w:tc>
          <w:tcPr>
            <w:tcW w:w="0" w:type="auto"/>
            <w:tcBorders>
              <w:bottom w:val="single" w:sz="4" w:space="0" w:color="E1E4E8"/>
            </w:tcBorders>
            <w:tcMar>
              <w:top w:w="80" w:type="dxa"/>
              <w:left w:w="120" w:type="dxa"/>
              <w:bottom w:w="80" w:type="dxa"/>
              <w:right w:w="120" w:type="dxa"/>
            </w:tcMar>
            <w:vAlign w:val="center"/>
          </w:tcPr>
          <w:p w14:paraId="5941900F" w14:textId="77777777" w:rsidR="00D37098" w:rsidRDefault="00000000">
            <w:pPr>
              <w:pStyle w:val="MdTableCell"/>
            </w:pPr>
            <w:r>
              <w:t>Approximately 10-15% of revenue</w:t>
            </w:r>
          </w:p>
        </w:tc>
      </w:tr>
    </w:tbl>
    <w:p w14:paraId="196489F0" w14:textId="77777777" w:rsidR="00D37098" w:rsidRDefault="00000000">
      <w:pPr>
        <w:pStyle w:val="MdParagraph"/>
      </w:pPr>
      <w:r>
        <w:rPr>
          <w:rStyle w:val="MdStrong"/>
        </w:rPr>
        <w:t>Note:</w:t>
      </w:r>
      <w:r>
        <w:t xml:space="preserve"> Operating costs are relatively fixed regardless of configuration. Labor is the largest component, creating economies of scale for larger facilities or multiple-unit installations.</w:t>
      </w:r>
    </w:p>
    <w:p w14:paraId="410C6EEA" w14:textId="77777777" w:rsidR="00D37098" w:rsidRDefault="00D37098">
      <w:pPr>
        <w:pStyle w:val="MdSpace"/>
        <w:spacing w:after="60"/>
      </w:pPr>
    </w:p>
    <w:p w14:paraId="1507DFBA" w14:textId="77777777" w:rsidR="00D37098" w:rsidRDefault="00000000">
      <w:pPr>
        <w:pStyle w:val="MdHeading3"/>
      </w:pPr>
      <w:r>
        <w:t>7.3 Revenue Streams (Annual, 100 Tonne/Day Facility)</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953"/>
        <w:gridCol w:w="1224"/>
        <w:gridCol w:w="5849"/>
      </w:tblGrid>
      <w:tr w:rsidR="00D37098" w14:paraId="736D9052" w14:textId="77777777">
        <w:trPr>
          <w:cantSplit/>
          <w:trHeight w:val="720"/>
          <w:tblHeader/>
        </w:trPr>
        <w:tc>
          <w:tcPr>
            <w:tcW w:w="0" w:type="auto"/>
            <w:tcMar>
              <w:top w:w="100" w:type="dxa"/>
              <w:left w:w="120" w:type="dxa"/>
              <w:bottom w:w="100" w:type="dxa"/>
              <w:right w:w="120" w:type="dxa"/>
            </w:tcMar>
            <w:vAlign w:val="center"/>
          </w:tcPr>
          <w:p w14:paraId="6A1E9871" w14:textId="77777777" w:rsidR="00D37098" w:rsidRDefault="00000000">
            <w:pPr>
              <w:pStyle w:val="MdTableHeader"/>
            </w:pPr>
            <w:r>
              <w:t>Revenue Source</w:t>
            </w:r>
          </w:p>
        </w:tc>
        <w:tc>
          <w:tcPr>
            <w:tcW w:w="0" w:type="auto"/>
            <w:tcMar>
              <w:top w:w="100" w:type="dxa"/>
              <w:left w:w="120" w:type="dxa"/>
              <w:bottom w:w="100" w:type="dxa"/>
              <w:right w:w="120" w:type="dxa"/>
            </w:tcMar>
            <w:vAlign w:val="center"/>
          </w:tcPr>
          <w:p w14:paraId="32CB17E5" w14:textId="77777777" w:rsidR="00D37098" w:rsidRDefault="00000000">
            <w:pPr>
              <w:pStyle w:val="MdTableHeader"/>
            </w:pPr>
            <w:r>
              <w:t>Amount</w:t>
            </w:r>
          </w:p>
        </w:tc>
        <w:tc>
          <w:tcPr>
            <w:tcW w:w="0" w:type="auto"/>
            <w:tcMar>
              <w:top w:w="100" w:type="dxa"/>
              <w:left w:w="120" w:type="dxa"/>
              <w:bottom w:w="100" w:type="dxa"/>
              <w:right w:w="120" w:type="dxa"/>
            </w:tcMar>
            <w:vAlign w:val="center"/>
          </w:tcPr>
          <w:p w14:paraId="346074CC" w14:textId="77777777" w:rsidR="00D37098" w:rsidRDefault="00000000">
            <w:pPr>
              <w:pStyle w:val="MdTableHeader"/>
            </w:pPr>
            <w:r>
              <w:t>Assumptions</w:t>
            </w:r>
          </w:p>
        </w:tc>
      </w:tr>
      <w:tr w:rsidR="00D37098" w14:paraId="40FC37D2" w14:textId="77777777">
        <w:trPr>
          <w:cantSplit/>
          <w:trHeight w:val="576"/>
        </w:trPr>
        <w:tc>
          <w:tcPr>
            <w:tcW w:w="0" w:type="auto"/>
            <w:tcMar>
              <w:top w:w="80" w:type="dxa"/>
              <w:left w:w="120" w:type="dxa"/>
              <w:bottom w:w="80" w:type="dxa"/>
              <w:right w:w="120" w:type="dxa"/>
            </w:tcMar>
            <w:vAlign w:val="center"/>
          </w:tcPr>
          <w:p w14:paraId="4D468E4D" w14:textId="77777777" w:rsidR="00D37098" w:rsidRDefault="00000000">
            <w:pPr>
              <w:pStyle w:val="MdTableCell"/>
            </w:pPr>
            <w:r>
              <w:rPr>
                <w:rStyle w:val="MdStrong"/>
              </w:rPr>
              <w:t>Tipping Fees</w:t>
            </w:r>
          </w:p>
        </w:tc>
        <w:tc>
          <w:tcPr>
            <w:tcW w:w="0" w:type="auto"/>
            <w:tcMar>
              <w:top w:w="80" w:type="dxa"/>
              <w:left w:w="120" w:type="dxa"/>
              <w:bottom w:w="80" w:type="dxa"/>
              <w:right w:w="120" w:type="dxa"/>
            </w:tcMar>
            <w:vAlign w:val="center"/>
          </w:tcPr>
          <w:p w14:paraId="26CE0B32" w14:textId="77777777" w:rsidR="00D37098" w:rsidRDefault="00000000">
            <w:pPr>
              <w:pStyle w:val="MdTableCell"/>
            </w:pPr>
            <w:r>
              <w:t>$1.8-3.6M</w:t>
            </w:r>
          </w:p>
        </w:tc>
        <w:tc>
          <w:tcPr>
            <w:tcW w:w="0" w:type="auto"/>
            <w:tcMar>
              <w:top w:w="80" w:type="dxa"/>
              <w:left w:w="120" w:type="dxa"/>
              <w:bottom w:w="80" w:type="dxa"/>
              <w:right w:w="120" w:type="dxa"/>
            </w:tcMar>
            <w:vAlign w:val="center"/>
          </w:tcPr>
          <w:p w14:paraId="4990543B" w14:textId="77777777" w:rsidR="00D37098" w:rsidRDefault="00000000">
            <w:pPr>
              <w:pStyle w:val="MdTableCell"/>
            </w:pPr>
            <w:r>
              <w:t>$50-100/tonne × 36,500 tonnes/year</w:t>
            </w:r>
          </w:p>
        </w:tc>
      </w:tr>
      <w:tr w:rsidR="00D37098" w14:paraId="64C79164" w14:textId="77777777">
        <w:trPr>
          <w:cantSplit/>
          <w:trHeight w:val="576"/>
        </w:trPr>
        <w:tc>
          <w:tcPr>
            <w:tcW w:w="0" w:type="auto"/>
            <w:tcMar>
              <w:top w:w="80" w:type="dxa"/>
              <w:left w:w="120" w:type="dxa"/>
              <w:bottom w:w="80" w:type="dxa"/>
              <w:right w:w="120" w:type="dxa"/>
            </w:tcMar>
            <w:vAlign w:val="center"/>
          </w:tcPr>
          <w:p w14:paraId="26F64BB5" w14:textId="77777777" w:rsidR="00D37098" w:rsidRDefault="00000000">
            <w:pPr>
              <w:pStyle w:val="MdTableCell"/>
            </w:pPr>
            <w:r>
              <w:rPr>
                <w:rStyle w:val="MdStrong"/>
              </w:rPr>
              <w:t>Energy Sales</w:t>
            </w:r>
          </w:p>
        </w:tc>
        <w:tc>
          <w:tcPr>
            <w:tcW w:w="0" w:type="auto"/>
            <w:tcMar>
              <w:top w:w="80" w:type="dxa"/>
              <w:left w:w="120" w:type="dxa"/>
              <w:bottom w:w="80" w:type="dxa"/>
              <w:right w:w="120" w:type="dxa"/>
            </w:tcMar>
            <w:vAlign w:val="center"/>
          </w:tcPr>
          <w:p w14:paraId="51C31F1E" w14:textId="77777777" w:rsidR="00D37098" w:rsidRDefault="00000000">
            <w:pPr>
              <w:pStyle w:val="MdTableCell"/>
            </w:pPr>
            <w:r>
              <w:t>$1.0-2.5M</w:t>
            </w:r>
          </w:p>
        </w:tc>
        <w:tc>
          <w:tcPr>
            <w:tcW w:w="0" w:type="auto"/>
            <w:tcMar>
              <w:top w:w="80" w:type="dxa"/>
              <w:left w:w="120" w:type="dxa"/>
              <w:bottom w:w="80" w:type="dxa"/>
              <w:right w:w="120" w:type="dxa"/>
            </w:tcMar>
            <w:vAlign w:val="center"/>
          </w:tcPr>
          <w:p w14:paraId="458D9CDD" w14:textId="77777777" w:rsidR="00D37098" w:rsidRDefault="00000000">
            <w:pPr>
              <w:pStyle w:val="MdTableCell"/>
            </w:pPr>
            <w:r>
              <w:t>Varies by configuration and local energy prices</w:t>
            </w:r>
          </w:p>
        </w:tc>
      </w:tr>
      <w:tr w:rsidR="00D37098" w14:paraId="5547DA93" w14:textId="77777777">
        <w:trPr>
          <w:cantSplit/>
          <w:trHeight w:val="576"/>
        </w:trPr>
        <w:tc>
          <w:tcPr>
            <w:tcW w:w="0" w:type="auto"/>
            <w:tcMar>
              <w:top w:w="80" w:type="dxa"/>
              <w:left w:w="120" w:type="dxa"/>
              <w:bottom w:w="80" w:type="dxa"/>
              <w:right w:w="120" w:type="dxa"/>
            </w:tcMar>
            <w:vAlign w:val="center"/>
          </w:tcPr>
          <w:p w14:paraId="572191A1" w14:textId="77777777" w:rsidR="00D37098" w:rsidRDefault="00000000">
            <w:pPr>
              <w:pStyle w:val="MdTableCell"/>
            </w:pPr>
            <w:r>
              <w:rPr>
                <w:rStyle w:val="MdStrong"/>
              </w:rPr>
              <w:t>Carbon Credits</w:t>
            </w:r>
          </w:p>
        </w:tc>
        <w:tc>
          <w:tcPr>
            <w:tcW w:w="0" w:type="auto"/>
            <w:tcMar>
              <w:top w:w="80" w:type="dxa"/>
              <w:left w:w="120" w:type="dxa"/>
              <w:bottom w:w="80" w:type="dxa"/>
              <w:right w:w="120" w:type="dxa"/>
            </w:tcMar>
            <w:vAlign w:val="center"/>
          </w:tcPr>
          <w:p w14:paraId="3DDCA155" w14:textId="77777777" w:rsidR="00D37098" w:rsidRDefault="00000000">
            <w:pPr>
              <w:pStyle w:val="MdTableCell"/>
            </w:pPr>
            <w:r>
              <w:t>$0.6-2.4M</w:t>
            </w:r>
          </w:p>
        </w:tc>
        <w:tc>
          <w:tcPr>
            <w:tcW w:w="0" w:type="auto"/>
            <w:tcMar>
              <w:top w:w="80" w:type="dxa"/>
              <w:left w:w="120" w:type="dxa"/>
              <w:bottom w:w="80" w:type="dxa"/>
              <w:right w:w="120" w:type="dxa"/>
            </w:tcMar>
            <w:vAlign w:val="center"/>
          </w:tcPr>
          <w:p w14:paraId="54261D88" w14:textId="77777777" w:rsidR="00D37098" w:rsidRDefault="00000000">
            <w:pPr>
              <w:pStyle w:val="MdTableCell"/>
            </w:pPr>
            <w:r>
              <w:t xml:space="preserve">30,000 tonnes </w:t>
            </w:r>
            <w:proofErr w:type="spellStart"/>
            <w:r>
              <w:t>CO₂eq</w:t>
            </w:r>
            <w:proofErr w:type="spellEnd"/>
            <w:r>
              <w:t xml:space="preserve"> avoided × $20-80/tonne</w:t>
            </w:r>
          </w:p>
        </w:tc>
      </w:tr>
      <w:tr w:rsidR="00D37098" w14:paraId="667B9317" w14:textId="77777777">
        <w:trPr>
          <w:cantSplit/>
          <w:trHeight w:val="576"/>
        </w:trPr>
        <w:tc>
          <w:tcPr>
            <w:tcW w:w="0" w:type="auto"/>
            <w:tcMar>
              <w:top w:w="80" w:type="dxa"/>
              <w:left w:w="120" w:type="dxa"/>
              <w:bottom w:w="80" w:type="dxa"/>
              <w:right w:w="120" w:type="dxa"/>
            </w:tcMar>
            <w:vAlign w:val="center"/>
          </w:tcPr>
          <w:p w14:paraId="40991005" w14:textId="77777777" w:rsidR="00D37098" w:rsidRDefault="00000000">
            <w:pPr>
              <w:pStyle w:val="MdTableCell"/>
            </w:pPr>
            <w:r>
              <w:rPr>
                <w:rStyle w:val="MdStrong"/>
              </w:rPr>
              <w:t>Biochar Sales</w:t>
            </w:r>
          </w:p>
        </w:tc>
        <w:tc>
          <w:tcPr>
            <w:tcW w:w="0" w:type="auto"/>
            <w:tcMar>
              <w:top w:w="80" w:type="dxa"/>
              <w:left w:w="120" w:type="dxa"/>
              <w:bottom w:w="80" w:type="dxa"/>
              <w:right w:w="120" w:type="dxa"/>
            </w:tcMar>
            <w:vAlign w:val="center"/>
          </w:tcPr>
          <w:p w14:paraId="4B0868C2" w14:textId="77777777" w:rsidR="00D37098" w:rsidRDefault="00000000">
            <w:pPr>
              <w:pStyle w:val="MdTableCell"/>
            </w:pPr>
            <w:r>
              <w:t>$0.2-0.5M</w:t>
            </w:r>
          </w:p>
        </w:tc>
        <w:tc>
          <w:tcPr>
            <w:tcW w:w="0" w:type="auto"/>
            <w:tcMar>
              <w:top w:w="80" w:type="dxa"/>
              <w:left w:w="120" w:type="dxa"/>
              <w:bottom w:w="80" w:type="dxa"/>
              <w:right w:w="120" w:type="dxa"/>
            </w:tcMar>
            <w:vAlign w:val="center"/>
          </w:tcPr>
          <w:p w14:paraId="1CA7A542" w14:textId="77777777" w:rsidR="00D37098" w:rsidRDefault="00000000">
            <w:pPr>
              <w:pStyle w:val="MdTableCell"/>
            </w:pPr>
            <w:r>
              <w:t>1,000-2,000 tonnes/year × $200-250/tonne</w:t>
            </w:r>
          </w:p>
        </w:tc>
      </w:tr>
      <w:tr w:rsidR="00D37098" w14:paraId="54CCD7CC"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2DC6C973" w14:textId="77777777" w:rsidR="00D37098" w:rsidRDefault="00000000">
            <w:pPr>
              <w:pStyle w:val="MdTableCell"/>
            </w:pPr>
            <w:r>
              <w:rPr>
                <w:rStyle w:val="MdStrong"/>
              </w:rPr>
              <w:t>Total Revenue</w:t>
            </w:r>
          </w:p>
        </w:tc>
        <w:tc>
          <w:tcPr>
            <w:tcW w:w="0" w:type="auto"/>
            <w:tcBorders>
              <w:bottom w:val="single" w:sz="4" w:space="0" w:color="E1E4E8"/>
            </w:tcBorders>
            <w:tcMar>
              <w:top w:w="80" w:type="dxa"/>
              <w:left w:w="120" w:type="dxa"/>
              <w:bottom w:w="80" w:type="dxa"/>
              <w:right w:w="120" w:type="dxa"/>
            </w:tcMar>
            <w:vAlign w:val="center"/>
          </w:tcPr>
          <w:p w14:paraId="3E2B106D" w14:textId="77777777" w:rsidR="00D37098" w:rsidRDefault="00000000">
            <w:pPr>
              <w:pStyle w:val="MdTableCell"/>
            </w:pPr>
            <w:r>
              <w:rPr>
                <w:rStyle w:val="MdStrong"/>
              </w:rPr>
              <w:t>$3.6-9.0M</w:t>
            </w:r>
          </w:p>
        </w:tc>
        <w:tc>
          <w:tcPr>
            <w:tcW w:w="0" w:type="auto"/>
            <w:tcBorders>
              <w:bottom w:val="single" w:sz="4" w:space="0" w:color="E1E4E8"/>
            </w:tcBorders>
            <w:tcMar>
              <w:top w:w="80" w:type="dxa"/>
              <w:left w:w="120" w:type="dxa"/>
              <w:bottom w:w="80" w:type="dxa"/>
              <w:right w:w="120" w:type="dxa"/>
            </w:tcMar>
            <w:vAlign w:val="center"/>
          </w:tcPr>
          <w:p w14:paraId="152202A9" w14:textId="77777777" w:rsidR="00D37098" w:rsidRDefault="00000000">
            <w:pPr>
              <w:pStyle w:val="MdTableCell"/>
            </w:pPr>
            <w:r>
              <w:t>Higher end requires premium energy prices and carbon credits</w:t>
            </w:r>
          </w:p>
        </w:tc>
      </w:tr>
    </w:tbl>
    <w:p w14:paraId="517F951C" w14:textId="77777777" w:rsidR="00D37098" w:rsidRDefault="00000000">
      <w:pPr>
        <w:pStyle w:val="MdParagraph"/>
      </w:pPr>
      <w:r>
        <w:rPr>
          <w:rStyle w:val="MdStrong"/>
        </w:rPr>
        <w:lastRenderedPageBreak/>
        <w:t>Energy Sales Detail by Configuration:</w:t>
      </w:r>
    </w:p>
    <w:p w14:paraId="26883182" w14:textId="77777777" w:rsidR="00D37098" w:rsidRDefault="00000000">
      <w:pPr>
        <w:pStyle w:val="MdListItem"/>
        <w:numPr>
          <w:ilvl w:val="0"/>
          <w:numId w:val="2"/>
        </w:numPr>
      </w:pPr>
      <w:r>
        <w:rPr>
          <w:rStyle w:val="MdStrong"/>
        </w:rPr>
        <w:t>VOLT:</w:t>
      </w:r>
      <w:r>
        <w:t xml:space="preserve"> $1.3-2.6M (150 kW × 8,000 hrs/yr × $0.10-0.20/kWh)</w:t>
      </w:r>
    </w:p>
    <w:p w14:paraId="51E01600" w14:textId="77777777" w:rsidR="00D37098" w:rsidRDefault="00000000">
      <w:pPr>
        <w:pStyle w:val="MdListItem"/>
        <w:numPr>
          <w:ilvl w:val="0"/>
          <w:numId w:val="2"/>
        </w:numPr>
      </w:pPr>
      <w:r>
        <w:rPr>
          <w:rStyle w:val="MdStrong"/>
        </w:rPr>
        <w:t>HEAT:</w:t>
      </w:r>
      <w:r>
        <w:t xml:space="preserve"> $0.8-2.0M (300 kW thermal × 8,000 hrs/yr × $0.03-0.08/kWh thermal)</w:t>
      </w:r>
    </w:p>
    <w:p w14:paraId="1CB8ECAC" w14:textId="77777777" w:rsidR="00D37098" w:rsidRDefault="00000000">
      <w:pPr>
        <w:pStyle w:val="MdListItem"/>
        <w:numPr>
          <w:ilvl w:val="0"/>
          <w:numId w:val="2"/>
        </w:numPr>
      </w:pPr>
      <w:r>
        <w:rPr>
          <w:rStyle w:val="MdStrong"/>
        </w:rPr>
        <w:t>CHILL:</w:t>
      </w:r>
      <w:r>
        <w:t xml:space="preserve"> $1.5-2.9M (250 kW cooling × 8,000 hrs/yr × $0.08-0.15/kWh cooling)</w:t>
      </w:r>
    </w:p>
    <w:p w14:paraId="7D5C40D2" w14:textId="77777777" w:rsidR="00D37098" w:rsidRDefault="00000000">
      <w:pPr>
        <w:pStyle w:val="MdListItem"/>
        <w:numPr>
          <w:ilvl w:val="0"/>
          <w:numId w:val="2"/>
        </w:numPr>
      </w:pPr>
      <w:r>
        <w:rPr>
          <w:rStyle w:val="MdStrong"/>
        </w:rPr>
        <w:t>H₂:</w:t>
      </w:r>
      <w:r>
        <w:t xml:space="preserve"> $2.0-6.0M (6,000 kg/yr × $5-15/kg)</w:t>
      </w:r>
    </w:p>
    <w:p w14:paraId="572FBD49" w14:textId="77777777" w:rsidR="00D37098" w:rsidRDefault="00000000">
      <w:pPr>
        <w:pStyle w:val="MdListItem"/>
        <w:numPr>
          <w:ilvl w:val="0"/>
          <w:numId w:val="2"/>
        </w:numPr>
      </w:pPr>
      <w:r>
        <w:rPr>
          <w:rStyle w:val="MdStrong"/>
        </w:rPr>
        <w:t>SAF:</w:t>
      </w:r>
      <w:r>
        <w:t xml:space="preserve"> $4.0-12M (3,650 </w:t>
      </w:r>
      <w:proofErr w:type="spellStart"/>
      <w:r>
        <w:t>liters</w:t>
      </w:r>
      <w:proofErr w:type="spellEnd"/>
      <w:r>
        <w:t>/yr × $3-6/</w:t>
      </w:r>
      <w:proofErr w:type="spellStart"/>
      <w:r>
        <w:t>liter</w:t>
      </w:r>
      <w:proofErr w:type="spellEnd"/>
      <w:r>
        <w:t>) - requires multiple units</w:t>
      </w:r>
    </w:p>
    <w:p w14:paraId="5D7D833E" w14:textId="77777777" w:rsidR="00D37098" w:rsidRDefault="00000000">
      <w:pPr>
        <w:pStyle w:val="MdListItem"/>
        <w:numPr>
          <w:ilvl w:val="0"/>
          <w:numId w:val="2"/>
        </w:numPr>
      </w:pPr>
      <w:r>
        <w:rPr>
          <w:rStyle w:val="MdStrong"/>
        </w:rPr>
        <w:t>RNG:</w:t>
      </w:r>
      <w:r>
        <w:t xml:space="preserve"> $1.5-4.5M (30,000 Nm³/yr × $0.50-1.50/Nm³ including credits)</w:t>
      </w:r>
    </w:p>
    <w:p w14:paraId="3320C6AE" w14:textId="77777777" w:rsidR="00D37098" w:rsidRDefault="00D37098">
      <w:pPr>
        <w:pStyle w:val="MdSpace"/>
        <w:spacing w:after="60"/>
      </w:pPr>
    </w:p>
    <w:p w14:paraId="0B72BCEF" w14:textId="77777777" w:rsidR="00D37098" w:rsidRDefault="00000000">
      <w:pPr>
        <w:pStyle w:val="MdHeading3"/>
      </w:pPr>
      <w:r>
        <w:t>7.4 Financial Metrics (BOO Model, Base Case)</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364"/>
        <w:gridCol w:w="1193"/>
        <w:gridCol w:w="5469"/>
      </w:tblGrid>
      <w:tr w:rsidR="00D37098" w14:paraId="66C92CF9" w14:textId="77777777">
        <w:trPr>
          <w:cantSplit/>
          <w:trHeight w:val="720"/>
          <w:tblHeader/>
        </w:trPr>
        <w:tc>
          <w:tcPr>
            <w:tcW w:w="0" w:type="auto"/>
            <w:tcMar>
              <w:top w:w="100" w:type="dxa"/>
              <w:left w:w="120" w:type="dxa"/>
              <w:bottom w:w="100" w:type="dxa"/>
              <w:right w:w="120" w:type="dxa"/>
            </w:tcMar>
            <w:vAlign w:val="center"/>
          </w:tcPr>
          <w:p w14:paraId="4BC6C762" w14:textId="77777777" w:rsidR="00D37098" w:rsidRDefault="00000000">
            <w:pPr>
              <w:pStyle w:val="MdTableHeader"/>
            </w:pPr>
            <w:r>
              <w:t>Metric</w:t>
            </w:r>
          </w:p>
        </w:tc>
        <w:tc>
          <w:tcPr>
            <w:tcW w:w="0" w:type="auto"/>
            <w:tcMar>
              <w:top w:w="100" w:type="dxa"/>
              <w:left w:w="120" w:type="dxa"/>
              <w:bottom w:w="100" w:type="dxa"/>
              <w:right w:w="120" w:type="dxa"/>
            </w:tcMar>
            <w:vAlign w:val="center"/>
          </w:tcPr>
          <w:p w14:paraId="23DBDB09" w14:textId="77777777" w:rsidR="00D37098" w:rsidRDefault="00000000">
            <w:pPr>
              <w:pStyle w:val="MdTableHeader"/>
            </w:pPr>
            <w:r>
              <w:t>Value</w:t>
            </w:r>
          </w:p>
        </w:tc>
        <w:tc>
          <w:tcPr>
            <w:tcW w:w="0" w:type="auto"/>
            <w:tcMar>
              <w:top w:w="100" w:type="dxa"/>
              <w:left w:w="120" w:type="dxa"/>
              <w:bottom w:w="100" w:type="dxa"/>
              <w:right w:w="120" w:type="dxa"/>
            </w:tcMar>
            <w:vAlign w:val="center"/>
          </w:tcPr>
          <w:p w14:paraId="446EB958" w14:textId="77777777" w:rsidR="00D37098" w:rsidRDefault="00000000">
            <w:pPr>
              <w:pStyle w:val="MdTableHeader"/>
            </w:pPr>
            <w:r>
              <w:t>Notes</w:t>
            </w:r>
          </w:p>
        </w:tc>
      </w:tr>
      <w:tr w:rsidR="00D37098" w14:paraId="02BDA507" w14:textId="77777777">
        <w:trPr>
          <w:cantSplit/>
          <w:trHeight w:val="576"/>
        </w:trPr>
        <w:tc>
          <w:tcPr>
            <w:tcW w:w="0" w:type="auto"/>
            <w:tcMar>
              <w:top w:w="80" w:type="dxa"/>
              <w:left w:w="120" w:type="dxa"/>
              <w:bottom w:w="80" w:type="dxa"/>
              <w:right w:w="120" w:type="dxa"/>
            </w:tcMar>
            <w:vAlign w:val="center"/>
          </w:tcPr>
          <w:p w14:paraId="4ECF3BA6" w14:textId="77777777" w:rsidR="00D37098" w:rsidRDefault="00000000">
            <w:pPr>
              <w:pStyle w:val="MdTableCell"/>
            </w:pPr>
            <w:r>
              <w:rPr>
                <w:rStyle w:val="MdStrong"/>
              </w:rPr>
              <w:t xml:space="preserve">Total </w:t>
            </w:r>
            <w:proofErr w:type="spellStart"/>
            <w:r>
              <w:rPr>
                <w:rStyle w:val="MdStrong"/>
              </w:rPr>
              <w:t>CapEx</w:t>
            </w:r>
            <w:proofErr w:type="spellEnd"/>
          </w:p>
        </w:tc>
        <w:tc>
          <w:tcPr>
            <w:tcW w:w="0" w:type="auto"/>
            <w:tcMar>
              <w:top w:w="80" w:type="dxa"/>
              <w:left w:w="120" w:type="dxa"/>
              <w:bottom w:w="80" w:type="dxa"/>
              <w:right w:w="120" w:type="dxa"/>
            </w:tcMar>
            <w:vAlign w:val="center"/>
          </w:tcPr>
          <w:p w14:paraId="7F303E6B" w14:textId="77777777" w:rsidR="00D37098" w:rsidRDefault="00000000">
            <w:pPr>
              <w:pStyle w:val="MdTableCell"/>
            </w:pPr>
            <w:r>
              <w:t>$4.0M</w:t>
            </w:r>
          </w:p>
        </w:tc>
        <w:tc>
          <w:tcPr>
            <w:tcW w:w="0" w:type="auto"/>
            <w:tcMar>
              <w:top w:w="80" w:type="dxa"/>
              <w:left w:w="120" w:type="dxa"/>
              <w:bottom w:w="80" w:type="dxa"/>
              <w:right w:w="120" w:type="dxa"/>
            </w:tcMar>
            <w:vAlign w:val="center"/>
          </w:tcPr>
          <w:p w14:paraId="78D79D62" w14:textId="77777777" w:rsidR="00D37098" w:rsidRDefault="00000000">
            <w:pPr>
              <w:pStyle w:val="MdTableCell"/>
            </w:pPr>
            <w:r>
              <w:t>Mid-range estimate, VOLT configuration</w:t>
            </w:r>
          </w:p>
        </w:tc>
      </w:tr>
      <w:tr w:rsidR="00D37098" w14:paraId="3433BFF7" w14:textId="77777777">
        <w:trPr>
          <w:cantSplit/>
          <w:trHeight w:val="576"/>
        </w:trPr>
        <w:tc>
          <w:tcPr>
            <w:tcW w:w="0" w:type="auto"/>
            <w:tcMar>
              <w:top w:w="80" w:type="dxa"/>
              <w:left w:w="120" w:type="dxa"/>
              <w:bottom w:w="80" w:type="dxa"/>
              <w:right w:w="120" w:type="dxa"/>
            </w:tcMar>
            <w:vAlign w:val="center"/>
          </w:tcPr>
          <w:p w14:paraId="4070AABA" w14:textId="77777777" w:rsidR="00D37098" w:rsidRDefault="00000000">
            <w:pPr>
              <w:pStyle w:val="MdTableCell"/>
            </w:pPr>
            <w:r>
              <w:rPr>
                <w:rStyle w:val="MdStrong"/>
              </w:rPr>
              <w:t>Annual Revenue</w:t>
            </w:r>
          </w:p>
        </w:tc>
        <w:tc>
          <w:tcPr>
            <w:tcW w:w="0" w:type="auto"/>
            <w:tcMar>
              <w:top w:w="80" w:type="dxa"/>
              <w:left w:w="120" w:type="dxa"/>
              <w:bottom w:w="80" w:type="dxa"/>
              <w:right w:w="120" w:type="dxa"/>
            </w:tcMar>
            <w:vAlign w:val="center"/>
          </w:tcPr>
          <w:p w14:paraId="3D52695B" w14:textId="77777777" w:rsidR="00D37098" w:rsidRDefault="00000000">
            <w:pPr>
              <w:pStyle w:val="MdTableCell"/>
            </w:pPr>
            <w:r>
              <w:t>$6.2M</w:t>
            </w:r>
          </w:p>
        </w:tc>
        <w:tc>
          <w:tcPr>
            <w:tcW w:w="0" w:type="auto"/>
            <w:tcMar>
              <w:top w:w="80" w:type="dxa"/>
              <w:left w:w="120" w:type="dxa"/>
              <w:bottom w:w="80" w:type="dxa"/>
              <w:right w:w="120" w:type="dxa"/>
            </w:tcMar>
            <w:vAlign w:val="center"/>
          </w:tcPr>
          <w:p w14:paraId="1DA092FD" w14:textId="77777777" w:rsidR="00D37098" w:rsidRDefault="00000000">
            <w:pPr>
              <w:pStyle w:val="MdTableCell"/>
            </w:pPr>
            <w:r>
              <w:t>Tipping fees + electricity + carbon credits + biochar</w:t>
            </w:r>
          </w:p>
        </w:tc>
      </w:tr>
      <w:tr w:rsidR="00D37098" w14:paraId="6ACCBC8D" w14:textId="77777777">
        <w:trPr>
          <w:cantSplit/>
          <w:trHeight w:val="576"/>
        </w:trPr>
        <w:tc>
          <w:tcPr>
            <w:tcW w:w="0" w:type="auto"/>
            <w:tcMar>
              <w:top w:w="80" w:type="dxa"/>
              <w:left w:w="120" w:type="dxa"/>
              <w:bottom w:w="80" w:type="dxa"/>
              <w:right w:w="120" w:type="dxa"/>
            </w:tcMar>
            <w:vAlign w:val="center"/>
          </w:tcPr>
          <w:p w14:paraId="40582838" w14:textId="77777777" w:rsidR="00D37098" w:rsidRDefault="00000000">
            <w:pPr>
              <w:pStyle w:val="MdTableCell"/>
            </w:pPr>
            <w:r>
              <w:rPr>
                <w:rStyle w:val="MdStrong"/>
              </w:rPr>
              <w:t xml:space="preserve">Annual </w:t>
            </w:r>
            <w:proofErr w:type="spellStart"/>
            <w:r>
              <w:rPr>
                <w:rStyle w:val="MdStrong"/>
              </w:rPr>
              <w:t>OpEx</w:t>
            </w:r>
            <w:proofErr w:type="spellEnd"/>
          </w:p>
        </w:tc>
        <w:tc>
          <w:tcPr>
            <w:tcW w:w="0" w:type="auto"/>
            <w:tcMar>
              <w:top w:w="80" w:type="dxa"/>
              <w:left w:w="120" w:type="dxa"/>
              <w:bottom w:w="80" w:type="dxa"/>
              <w:right w:w="120" w:type="dxa"/>
            </w:tcMar>
            <w:vAlign w:val="center"/>
          </w:tcPr>
          <w:p w14:paraId="110BBCBF" w14:textId="77777777" w:rsidR="00D37098" w:rsidRDefault="00000000">
            <w:pPr>
              <w:pStyle w:val="MdTableCell"/>
            </w:pPr>
            <w:r>
              <w:t>$0.4M</w:t>
            </w:r>
          </w:p>
        </w:tc>
        <w:tc>
          <w:tcPr>
            <w:tcW w:w="0" w:type="auto"/>
            <w:tcMar>
              <w:top w:w="80" w:type="dxa"/>
              <w:left w:w="120" w:type="dxa"/>
              <w:bottom w:w="80" w:type="dxa"/>
              <w:right w:w="120" w:type="dxa"/>
            </w:tcMar>
            <w:vAlign w:val="center"/>
          </w:tcPr>
          <w:p w14:paraId="0A549B0B" w14:textId="77777777" w:rsidR="00D37098" w:rsidRDefault="00000000">
            <w:pPr>
              <w:pStyle w:val="MdTableCell"/>
            </w:pPr>
            <w:r>
              <w:t>Labor, maintenance, catalyst</w:t>
            </w:r>
          </w:p>
        </w:tc>
      </w:tr>
      <w:tr w:rsidR="00D37098" w14:paraId="19C0D328" w14:textId="77777777">
        <w:trPr>
          <w:cantSplit/>
          <w:trHeight w:val="576"/>
        </w:trPr>
        <w:tc>
          <w:tcPr>
            <w:tcW w:w="0" w:type="auto"/>
            <w:tcMar>
              <w:top w:w="80" w:type="dxa"/>
              <w:left w:w="120" w:type="dxa"/>
              <w:bottom w:w="80" w:type="dxa"/>
              <w:right w:w="120" w:type="dxa"/>
            </w:tcMar>
            <w:vAlign w:val="center"/>
          </w:tcPr>
          <w:p w14:paraId="4B6A58F8" w14:textId="77777777" w:rsidR="00D37098" w:rsidRDefault="00000000">
            <w:pPr>
              <w:pStyle w:val="MdTableCell"/>
            </w:pPr>
            <w:r>
              <w:rPr>
                <w:rStyle w:val="MdStrong"/>
              </w:rPr>
              <w:t>Annual EBITDA</w:t>
            </w:r>
          </w:p>
        </w:tc>
        <w:tc>
          <w:tcPr>
            <w:tcW w:w="0" w:type="auto"/>
            <w:tcMar>
              <w:top w:w="80" w:type="dxa"/>
              <w:left w:w="120" w:type="dxa"/>
              <w:bottom w:w="80" w:type="dxa"/>
              <w:right w:w="120" w:type="dxa"/>
            </w:tcMar>
            <w:vAlign w:val="center"/>
          </w:tcPr>
          <w:p w14:paraId="49E403BA" w14:textId="77777777" w:rsidR="00D37098" w:rsidRDefault="00000000">
            <w:pPr>
              <w:pStyle w:val="MdTableCell"/>
            </w:pPr>
            <w:r>
              <w:t>$5.8M</w:t>
            </w:r>
          </w:p>
        </w:tc>
        <w:tc>
          <w:tcPr>
            <w:tcW w:w="0" w:type="auto"/>
            <w:tcMar>
              <w:top w:w="80" w:type="dxa"/>
              <w:left w:w="120" w:type="dxa"/>
              <w:bottom w:w="80" w:type="dxa"/>
              <w:right w:w="120" w:type="dxa"/>
            </w:tcMar>
            <w:vAlign w:val="center"/>
          </w:tcPr>
          <w:p w14:paraId="4B6FC40C" w14:textId="77777777" w:rsidR="00D37098" w:rsidRDefault="00000000">
            <w:pPr>
              <w:pStyle w:val="MdTableCell"/>
            </w:pPr>
            <w:r>
              <w:t>94% margin</w:t>
            </w:r>
          </w:p>
        </w:tc>
      </w:tr>
      <w:tr w:rsidR="00D37098" w14:paraId="7761E2A5" w14:textId="77777777">
        <w:trPr>
          <w:cantSplit/>
          <w:trHeight w:val="576"/>
        </w:trPr>
        <w:tc>
          <w:tcPr>
            <w:tcW w:w="0" w:type="auto"/>
            <w:tcMar>
              <w:top w:w="80" w:type="dxa"/>
              <w:left w:w="120" w:type="dxa"/>
              <w:bottom w:w="80" w:type="dxa"/>
              <w:right w:w="120" w:type="dxa"/>
            </w:tcMar>
            <w:vAlign w:val="center"/>
          </w:tcPr>
          <w:p w14:paraId="1571745C" w14:textId="77777777" w:rsidR="00D37098" w:rsidRDefault="00000000">
            <w:pPr>
              <w:pStyle w:val="MdTableCell"/>
            </w:pPr>
            <w:r>
              <w:rPr>
                <w:rStyle w:val="MdStrong"/>
              </w:rPr>
              <w:t>Simple Payback</w:t>
            </w:r>
          </w:p>
        </w:tc>
        <w:tc>
          <w:tcPr>
            <w:tcW w:w="0" w:type="auto"/>
            <w:tcMar>
              <w:top w:w="80" w:type="dxa"/>
              <w:left w:w="120" w:type="dxa"/>
              <w:bottom w:w="80" w:type="dxa"/>
              <w:right w:w="120" w:type="dxa"/>
            </w:tcMar>
            <w:vAlign w:val="center"/>
          </w:tcPr>
          <w:p w14:paraId="3C89A432" w14:textId="77777777" w:rsidR="00D37098" w:rsidRDefault="00000000">
            <w:pPr>
              <w:pStyle w:val="MdTableCell"/>
            </w:pPr>
            <w:r>
              <w:t>0.7 years</w:t>
            </w:r>
          </w:p>
        </w:tc>
        <w:tc>
          <w:tcPr>
            <w:tcW w:w="0" w:type="auto"/>
            <w:tcMar>
              <w:top w:w="80" w:type="dxa"/>
              <w:left w:w="120" w:type="dxa"/>
              <w:bottom w:w="80" w:type="dxa"/>
              <w:right w:w="120" w:type="dxa"/>
            </w:tcMar>
            <w:vAlign w:val="center"/>
          </w:tcPr>
          <w:p w14:paraId="076CE38A" w14:textId="77777777" w:rsidR="00D37098" w:rsidRDefault="00000000">
            <w:pPr>
              <w:pStyle w:val="MdTableCell"/>
            </w:pPr>
            <w:proofErr w:type="spellStart"/>
            <w:r>
              <w:t>CapEx</w:t>
            </w:r>
            <w:proofErr w:type="spellEnd"/>
            <w:r>
              <w:t xml:space="preserve"> / EBITDA</w:t>
            </w:r>
          </w:p>
        </w:tc>
      </w:tr>
      <w:tr w:rsidR="00D37098" w14:paraId="6F0DB100" w14:textId="77777777">
        <w:trPr>
          <w:cantSplit/>
          <w:trHeight w:val="576"/>
        </w:trPr>
        <w:tc>
          <w:tcPr>
            <w:tcW w:w="0" w:type="auto"/>
            <w:tcMar>
              <w:top w:w="80" w:type="dxa"/>
              <w:left w:w="120" w:type="dxa"/>
              <w:bottom w:w="80" w:type="dxa"/>
              <w:right w:w="120" w:type="dxa"/>
            </w:tcMar>
            <w:vAlign w:val="center"/>
          </w:tcPr>
          <w:p w14:paraId="0140D905" w14:textId="77777777" w:rsidR="00D37098" w:rsidRDefault="00000000">
            <w:pPr>
              <w:pStyle w:val="MdTableCell"/>
            </w:pPr>
            <w:r>
              <w:rPr>
                <w:rStyle w:val="MdStrong"/>
              </w:rPr>
              <w:t>IRR (20-year)</w:t>
            </w:r>
          </w:p>
        </w:tc>
        <w:tc>
          <w:tcPr>
            <w:tcW w:w="0" w:type="auto"/>
            <w:tcMar>
              <w:top w:w="80" w:type="dxa"/>
              <w:left w:w="120" w:type="dxa"/>
              <w:bottom w:w="80" w:type="dxa"/>
              <w:right w:w="120" w:type="dxa"/>
            </w:tcMar>
            <w:vAlign w:val="center"/>
          </w:tcPr>
          <w:p w14:paraId="2FD238B5" w14:textId="77777777" w:rsidR="00D37098" w:rsidRDefault="00000000">
            <w:pPr>
              <w:pStyle w:val="MdTableCell"/>
            </w:pPr>
            <w:r>
              <w:t>145%</w:t>
            </w:r>
          </w:p>
        </w:tc>
        <w:tc>
          <w:tcPr>
            <w:tcW w:w="0" w:type="auto"/>
            <w:tcMar>
              <w:top w:w="80" w:type="dxa"/>
              <w:left w:w="120" w:type="dxa"/>
              <w:bottom w:w="80" w:type="dxa"/>
              <w:right w:w="120" w:type="dxa"/>
            </w:tcMar>
            <w:vAlign w:val="center"/>
          </w:tcPr>
          <w:p w14:paraId="2ED651D2" w14:textId="77777777" w:rsidR="00D37098" w:rsidRDefault="00000000">
            <w:pPr>
              <w:pStyle w:val="MdTableCell"/>
            </w:pPr>
            <w:r>
              <w:t>Assuming 2% annual revenue growth</w:t>
            </w:r>
          </w:p>
        </w:tc>
      </w:tr>
      <w:tr w:rsidR="00D37098" w14:paraId="34CB1F67"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7B4C4F09" w14:textId="77777777" w:rsidR="00D37098" w:rsidRDefault="00000000">
            <w:pPr>
              <w:pStyle w:val="MdTableCell"/>
            </w:pPr>
            <w:r>
              <w:rPr>
                <w:rStyle w:val="MdStrong"/>
              </w:rPr>
              <w:t>NPV (8% discount)</w:t>
            </w:r>
          </w:p>
        </w:tc>
        <w:tc>
          <w:tcPr>
            <w:tcW w:w="0" w:type="auto"/>
            <w:tcBorders>
              <w:bottom w:val="single" w:sz="4" w:space="0" w:color="E1E4E8"/>
            </w:tcBorders>
            <w:tcMar>
              <w:top w:w="80" w:type="dxa"/>
              <w:left w:w="120" w:type="dxa"/>
              <w:bottom w:w="80" w:type="dxa"/>
              <w:right w:w="120" w:type="dxa"/>
            </w:tcMar>
            <w:vAlign w:val="center"/>
          </w:tcPr>
          <w:p w14:paraId="3981026F" w14:textId="77777777" w:rsidR="00D37098" w:rsidRDefault="00000000">
            <w:pPr>
              <w:pStyle w:val="MdTableCell"/>
            </w:pPr>
            <w:r>
              <w:t>$62M</w:t>
            </w:r>
          </w:p>
        </w:tc>
        <w:tc>
          <w:tcPr>
            <w:tcW w:w="0" w:type="auto"/>
            <w:tcBorders>
              <w:bottom w:val="single" w:sz="4" w:space="0" w:color="E1E4E8"/>
            </w:tcBorders>
            <w:tcMar>
              <w:top w:w="80" w:type="dxa"/>
              <w:left w:w="120" w:type="dxa"/>
              <w:bottom w:w="80" w:type="dxa"/>
              <w:right w:w="120" w:type="dxa"/>
            </w:tcMar>
            <w:vAlign w:val="center"/>
          </w:tcPr>
          <w:p w14:paraId="25472109" w14:textId="77777777" w:rsidR="00D37098" w:rsidRDefault="00000000">
            <w:pPr>
              <w:pStyle w:val="MdTableCell"/>
            </w:pPr>
            <w:r>
              <w:t>20-year project life</w:t>
            </w:r>
          </w:p>
        </w:tc>
      </w:tr>
    </w:tbl>
    <w:p w14:paraId="6F8070AE" w14:textId="77777777" w:rsidR="00D37098" w:rsidRDefault="00000000">
      <w:pPr>
        <w:pStyle w:val="MdParagraph"/>
      </w:pPr>
      <w:r>
        <w:rPr>
          <w:rStyle w:val="MdStrong"/>
        </w:rPr>
        <w:t>Sensitivity Analysis:</w:t>
      </w:r>
    </w:p>
    <w:p w14:paraId="2D6FC13E" w14:textId="77777777" w:rsidR="00D37098" w:rsidRDefault="00D37098">
      <w:pPr>
        <w:pStyle w:val="MdSpace"/>
        <w:spacing w:after="60"/>
      </w:pPr>
    </w:p>
    <w:p w14:paraId="33552F15" w14:textId="77777777" w:rsidR="00D37098" w:rsidRDefault="00000000">
      <w:pPr>
        <w:pStyle w:val="MdParagraph"/>
      </w:pPr>
      <w:r>
        <w:t>The BOO model is highly sensitive to tipping fees and energy prices:</w:t>
      </w:r>
    </w:p>
    <w:p w14:paraId="65FBFE03" w14:textId="77777777" w:rsidR="00D37098" w:rsidRDefault="00D37098">
      <w:pPr>
        <w:pStyle w:val="MdSpace"/>
        <w:spacing w:after="60"/>
      </w:pPr>
    </w:p>
    <w:p w14:paraId="0F4C9A93" w14:textId="77777777" w:rsidR="00D37098" w:rsidRDefault="00000000">
      <w:pPr>
        <w:pStyle w:val="MdListItem"/>
        <w:numPr>
          <w:ilvl w:val="0"/>
          <w:numId w:val="2"/>
        </w:numPr>
      </w:pPr>
      <w:r>
        <w:rPr>
          <w:rStyle w:val="MdStrong"/>
        </w:rPr>
        <w:t>High Tipping Fees + High Energy Prices:</w:t>
      </w:r>
      <w:r>
        <w:t xml:space="preserve"> IRR &gt;200%, payback &lt;6 months</w:t>
      </w:r>
    </w:p>
    <w:p w14:paraId="08D2B8F2" w14:textId="77777777" w:rsidR="00D37098" w:rsidRDefault="00000000">
      <w:pPr>
        <w:pStyle w:val="MdListItem"/>
        <w:numPr>
          <w:ilvl w:val="0"/>
          <w:numId w:val="2"/>
        </w:numPr>
      </w:pPr>
      <w:r>
        <w:rPr>
          <w:rStyle w:val="MdStrong"/>
        </w:rPr>
        <w:t>Low Tipping Fees + Low Energy Prices:</w:t>
      </w:r>
      <w:r>
        <w:t xml:space="preserve"> IRR ~50%, payback ~2 years</w:t>
      </w:r>
    </w:p>
    <w:p w14:paraId="170DD097" w14:textId="77777777" w:rsidR="00D37098" w:rsidRDefault="00000000">
      <w:pPr>
        <w:pStyle w:val="MdListItem"/>
        <w:numPr>
          <w:ilvl w:val="0"/>
          <w:numId w:val="2"/>
        </w:numPr>
      </w:pPr>
      <w:r>
        <w:rPr>
          <w:rStyle w:val="MdStrong"/>
        </w:rPr>
        <w:t>Carbon Credit Impact:</w:t>
      </w:r>
      <w:r>
        <w:t xml:space="preserve"> Each $20/tonne increase in carbon credit value adds $0.6M annual revenue</w:t>
      </w:r>
    </w:p>
    <w:p w14:paraId="0807FEEF" w14:textId="77777777" w:rsidR="00D37098" w:rsidRDefault="00D37098">
      <w:pPr>
        <w:pStyle w:val="MdSpace"/>
        <w:spacing w:after="60"/>
      </w:pPr>
    </w:p>
    <w:p w14:paraId="35CBD4A4" w14:textId="77777777" w:rsidR="00D37098" w:rsidRDefault="00000000">
      <w:pPr>
        <w:pStyle w:val="MdParagraph"/>
      </w:pPr>
      <w:r>
        <w:rPr>
          <w:rStyle w:val="MdStrong"/>
        </w:rPr>
        <w:t>Risk Factors:</w:t>
      </w:r>
    </w:p>
    <w:p w14:paraId="67A96BCC" w14:textId="77777777" w:rsidR="00D37098" w:rsidRDefault="00000000">
      <w:pPr>
        <w:pStyle w:val="MdListItem"/>
        <w:numPr>
          <w:ilvl w:val="0"/>
          <w:numId w:val="2"/>
        </w:numPr>
      </w:pPr>
      <w:r>
        <w:t>Feedstock availability and quality variability</w:t>
      </w:r>
    </w:p>
    <w:p w14:paraId="6999513D" w14:textId="77777777" w:rsidR="00D37098" w:rsidRDefault="00000000">
      <w:pPr>
        <w:pStyle w:val="MdListItem"/>
        <w:numPr>
          <w:ilvl w:val="0"/>
          <w:numId w:val="2"/>
        </w:numPr>
      </w:pPr>
      <w:r>
        <w:t>Energy price volatility</w:t>
      </w:r>
    </w:p>
    <w:p w14:paraId="39CE9316" w14:textId="77777777" w:rsidR="00D37098" w:rsidRDefault="00000000">
      <w:pPr>
        <w:pStyle w:val="MdListItem"/>
        <w:numPr>
          <w:ilvl w:val="0"/>
          <w:numId w:val="2"/>
        </w:numPr>
      </w:pPr>
      <w:r>
        <w:t>Carbon credit market uncertainty</w:t>
      </w:r>
    </w:p>
    <w:p w14:paraId="44ED8B7C" w14:textId="77777777" w:rsidR="00D37098" w:rsidRDefault="00000000">
      <w:pPr>
        <w:pStyle w:val="MdListItem"/>
        <w:numPr>
          <w:ilvl w:val="0"/>
          <w:numId w:val="2"/>
        </w:numPr>
      </w:pPr>
      <w:r>
        <w:lastRenderedPageBreak/>
        <w:t>Regulatory changes</w:t>
      </w:r>
    </w:p>
    <w:p w14:paraId="680CDB60" w14:textId="77777777" w:rsidR="00D37098" w:rsidRDefault="00000000">
      <w:pPr>
        <w:pStyle w:val="MdListItem"/>
        <w:numPr>
          <w:ilvl w:val="0"/>
          <w:numId w:val="2"/>
        </w:numPr>
      </w:pPr>
      <w:r>
        <w:t>Technology performance risk (especially for new feedstocks)</w:t>
      </w:r>
    </w:p>
    <w:p w14:paraId="5048EF14" w14:textId="77777777" w:rsidR="00D37098" w:rsidRDefault="00D37098">
      <w:pPr>
        <w:pStyle w:val="MdSpace"/>
        <w:spacing w:after="60"/>
      </w:pPr>
    </w:p>
    <w:p w14:paraId="1908C01D" w14:textId="77777777" w:rsidR="00D37098" w:rsidRDefault="00000000">
      <w:pPr>
        <w:pStyle w:val="MdHeading3"/>
      </w:pPr>
      <w:r>
        <w:t>7.5 Comparison to Alternatives</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947"/>
        <w:gridCol w:w="1903"/>
        <w:gridCol w:w="1442"/>
        <w:gridCol w:w="1455"/>
        <w:gridCol w:w="2279"/>
      </w:tblGrid>
      <w:tr w:rsidR="00D37098" w14:paraId="762D301F" w14:textId="77777777">
        <w:trPr>
          <w:cantSplit/>
          <w:trHeight w:val="720"/>
          <w:tblHeader/>
        </w:trPr>
        <w:tc>
          <w:tcPr>
            <w:tcW w:w="0" w:type="auto"/>
            <w:tcMar>
              <w:top w:w="100" w:type="dxa"/>
              <w:left w:w="120" w:type="dxa"/>
              <w:bottom w:w="100" w:type="dxa"/>
              <w:right w:w="120" w:type="dxa"/>
            </w:tcMar>
            <w:vAlign w:val="center"/>
          </w:tcPr>
          <w:p w14:paraId="7FBED6F2" w14:textId="77777777" w:rsidR="00D37098" w:rsidRDefault="00000000">
            <w:pPr>
              <w:pStyle w:val="MdTableHeader"/>
            </w:pPr>
            <w:r>
              <w:t>Technology</w:t>
            </w:r>
          </w:p>
        </w:tc>
        <w:tc>
          <w:tcPr>
            <w:tcW w:w="0" w:type="auto"/>
            <w:tcMar>
              <w:top w:w="100" w:type="dxa"/>
              <w:left w:w="120" w:type="dxa"/>
              <w:bottom w:w="100" w:type="dxa"/>
              <w:right w:w="120" w:type="dxa"/>
            </w:tcMar>
            <w:vAlign w:val="center"/>
          </w:tcPr>
          <w:p w14:paraId="57490DE1" w14:textId="77777777" w:rsidR="00D37098" w:rsidRDefault="00000000">
            <w:pPr>
              <w:pStyle w:val="MdTableHeader"/>
            </w:pPr>
            <w:proofErr w:type="spellStart"/>
            <w:r>
              <w:t>CapEx</w:t>
            </w:r>
            <w:proofErr w:type="spellEnd"/>
            <w:r>
              <w:t xml:space="preserve"> ($/tonne/day)</w:t>
            </w:r>
          </w:p>
        </w:tc>
        <w:tc>
          <w:tcPr>
            <w:tcW w:w="0" w:type="auto"/>
            <w:tcMar>
              <w:top w:w="100" w:type="dxa"/>
              <w:left w:w="120" w:type="dxa"/>
              <w:bottom w:w="100" w:type="dxa"/>
              <w:right w:w="120" w:type="dxa"/>
            </w:tcMar>
            <w:vAlign w:val="center"/>
          </w:tcPr>
          <w:p w14:paraId="28A65645" w14:textId="77777777" w:rsidR="00D37098" w:rsidRDefault="00000000">
            <w:pPr>
              <w:pStyle w:val="MdTableHeader"/>
            </w:pPr>
            <w:proofErr w:type="spellStart"/>
            <w:r>
              <w:t>OpEx</w:t>
            </w:r>
            <w:proofErr w:type="spellEnd"/>
            <w:r>
              <w:t xml:space="preserve"> ($/tonne)</w:t>
            </w:r>
          </w:p>
        </w:tc>
        <w:tc>
          <w:tcPr>
            <w:tcW w:w="0" w:type="auto"/>
            <w:tcMar>
              <w:top w:w="100" w:type="dxa"/>
              <w:left w:w="120" w:type="dxa"/>
              <w:bottom w:w="100" w:type="dxa"/>
              <w:right w:w="120" w:type="dxa"/>
            </w:tcMar>
            <w:vAlign w:val="center"/>
          </w:tcPr>
          <w:p w14:paraId="10484D44" w14:textId="77777777" w:rsidR="00D37098" w:rsidRDefault="00000000">
            <w:pPr>
              <w:pStyle w:val="MdTableHeader"/>
            </w:pPr>
            <w:r>
              <w:t>Efficiency</w:t>
            </w:r>
          </w:p>
        </w:tc>
        <w:tc>
          <w:tcPr>
            <w:tcW w:w="0" w:type="auto"/>
            <w:tcMar>
              <w:top w:w="100" w:type="dxa"/>
              <w:left w:w="120" w:type="dxa"/>
              <w:bottom w:w="100" w:type="dxa"/>
              <w:right w:w="120" w:type="dxa"/>
            </w:tcMar>
            <w:vAlign w:val="center"/>
          </w:tcPr>
          <w:p w14:paraId="40C8E605" w14:textId="77777777" w:rsidR="00D37098" w:rsidRDefault="00000000">
            <w:pPr>
              <w:pStyle w:val="MdTableHeader"/>
            </w:pPr>
            <w:r>
              <w:t>Feedstock Flexibility</w:t>
            </w:r>
          </w:p>
        </w:tc>
      </w:tr>
      <w:tr w:rsidR="00D37098" w14:paraId="3D439C6E" w14:textId="77777777">
        <w:trPr>
          <w:cantSplit/>
          <w:trHeight w:val="576"/>
        </w:trPr>
        <w:tc>
          <w:tcPr>
            <w:tcW w:w="0" w:type="auto"/>
            <w:tcMar>
              <w:top w:w="80" w:type="dxa"/>
              <w:left w:w="120" w:type="dxa"/>
              <w:bottom w:w="80" w:type="dxa"/>
              <w:right w:w="120" w:type="dxa"/>
            </w:tcMar>
            <w:vAlign w:val="center"/>
          </w:tcPr>
          <w:p w14:paraId="3E9BFB17" w14:textId="77777777" w:rsidR="00D37098" w:rsidRDefault="00000000">
            <w:pPr>
              <w:pStyle w:val="MdTableCell"/>
            </w:pPr>
            <w:r>
              <w:rPr>
                <w:rStyle w:val="MdStrong"/>
              </w:rPr>
              <w:t>X-150 Gasification</w:t>
            </w:r>
          </w:p>
        </w:tc>
        <w:tc>
          <w:tcPr>
            <w:tcW w:w="0" w:type="auto"/>
            <w:tcMar>
              <w:top w:w="80" w:type="dxa"/>
              <w:left w:w="120" w:type="dxa"/>
              <w:bottom w:w="80" w:type="dxa"/>
              <w:right w:w="120" w:type="dxa"/>
            </w:tcMar>
            <w:vAlign w:val="center"/>
          </w:tcPr>
          <w:p w14:paraId="00FC7581" w14:textId="77777777" w:rsidR="00D37098" w:rsidRDefault="00000000">
            <w:pPr>
              <w:pStyle w:val="MdTableCell"/>
            </w:pPr>
            <w:r>
              <w:t>$40-50K</w:t>
            </w:r>
          </w:p>
        </w:tc>
        <w:tc>
          <w:tcPr>
            <w:tcW w:w="0" w:type="auto"/>
            <w:tcMar>
              <w:top w:w="80" w:type="dxa"/>
              <w:left w:w="120" w:type="dxa"/>
              <w:bottom w:w="80" w:type="dxa"/>
              <w:right w:w="120" w:type="dxa"/>
            </w:tcMar>
            <w:vAlign w:val="center"/>
          </w:tcPr>
          <w:p w14:paraId="703488A9" w14:textId="77777777" w:rsidR="00D37098" w:rsidRDefault="00000000">
            <w:pPr>
              <w:pStyle w:val="MdTableCell"/>
            </w:pPr>
            <w:r>
              <w:t>$10-15</w:t>
            </w:r>
          </w:p>
        </w:tc>
        <w:tc>
          <w:tcPr>
            <w:tcW w:w="0" w:type="auto"/>
            <w:tcMar>
              <w:top w:w="80" w:type="dxa"/>
              <w:left w:w="120" w:type="dxa"/>
              <w:bottom w:w="80" w:type="dxa"/>
              <w:right w:w="120" w:type="dxa"/>
            </w:tcMar>
            <w:vAlign w:val="center"/>
          </w:tcPr>
          <w:p w14:paraId="2A6BC172" w14:textId="77777777" w:rsidR="00D37098" w:rsidRDefault="00000000">
            <w:pPr>
              <w:pStyle w:val="MdTableCell"/>
            </w:pPr>
            <w:r>
              <w:t>85% (CHP)</w:t>
            </w:r>
          </w:p>
        </w:tc>
        <w:tc>
          <w:tcPr>
            <w:tcW w:w="0" w:type="auto"/>
            <w:tcMar>
              <w:top w:w="80" w:type="dxa"/>
              <w:left w:w="120" w:type="dxa"/>
              <w:bottom w:w="80" w:type="dxa"/>
              <w:right w:w="120" w:type="dxa"/>
            </w:tcMar>
            <w:vAlign w:val="center"/>
          </w:tcPr>
          <w:p w14:paraId="02E8EFC9" w14:textId="77777777" w:rsidR="00D37098" w:rsidRDefault="00000000">
            <w:pPr>
              <w:pStyle w:val="MdTableCell"/>
            </w:pPr>
            <w:r>
              <w:t>Excellent</w:t>
            </w:r>
          </w:p>
        </w:tc>
      </w:tr>
      <w:tr w:rsidR="00D37098" w14:paraId="12F3D53E" w14:textId="77777777">
        <w:trPr>
          <w:cantSplit/>
          <w:trHeight w:val="576"/>
        </w:trPr>
        <w:tc>
          <w:tcPr>
            <w:tcW w:w="0" w:type="auto"/>
            <w:tcMar>
              <w:top w:w="80" w:type="dxa"/>
              <w:left w:w="120" w:type="dxa"/>
              <w:bottom w:w="80" w:type="dxa"/>
              <w:right w:w="120" w:type="dxa"/>
            </w:tcMar>
            <w:vAlign w:val="center"/>
          </w:tcPr>
          <w:p w14:paraId="65D4FA75" w14:textId="77777777" w:rsidR="00D37098" w:rsidRDefault="00000000">
            <w:pPr>
              <w:pStyle w:val="MdTableCell"/>
            </w:pPr>
            <w:r>
              <w:rPr>
                <w:rStyle w:val="MdStrong"/>
              </w:rPr>
              <w:t>Large WTE Incineration</w:t>
            </w:r>
          </w:p>
        </w:tc>
        <w:tc>
          <w:tcPr>
            <w:tcW w:w="0" w:type="auto"/>
            <w:tcMar>
              <w:top w:w="80" w:type="dxa"/>
              <w:left w:w="120" w:type="dxa"/>
              <w:bottom w:w="80" w:type="dxa"/>
              <w:right w:w="120" w:type="dxa"/>
            </w:tcMar>
            <w:vAlign w:val="center"/>
          </w:tcPr>
          <w:p w14:paraId="36994AD3" w14:textId="77777777" w:rsidR="00D37098" w:rsidRDefault="00000000">
            <w:pPr>
              <w:pStyle w:val="MdTableCell"/>
            </w:pPr>
            <w:r>
              <w:t>$150-300K</w:t>
            </w:r>
          </w:p>
        </w:tc>
        <w:tc>
          <w:tcPr>
            <w:tcW w:w="0" w:type="auto"/>
            <w:tcMar>
              <w:top w:w="80" w:type="dxa"/>
              <w:left w:w="120" w:type="dxa"/>
              <w:bottom w:w="80" w:type="dxa"/>
              <w:right w:w="120" w:type="dxa"/>
            </w:tcMar>
            <w:vAlign w:val="center"/>
          </w:tcPr>
          <w:p w14:paraId="31D83ED8" w14:textId="77777777" w:rsidR="00D37098" w:rsidRDefault="00000000">
            <w:pPr>
              <w:pStyle w:val="MdTableCell"/>
            </w:pPr>
            <w:r>
              <w:t>$30-50</w:t>
            </w:r>
          </w:p>
        </w:tc>
        <w:tc>
          <w:tcPr>
            <w:tcW w:w="0" w:type="auto"/>
            <w:tcMar>
              <w:top w:w="80" w:type="dxa"/>
              <w:left w:w="120" w:type="dxa"/>
              <w:bottom w:w="80" w:type="dxa"/>
              <w:right w:w="120" w:type="dxa"/>
            </w:tcMar>
            <w:vAlign w:val="center"/>
          </w:tcPr>
          <w:p w14:paraId="4FEFB52A" w14:textId="77777777" w:rsidR="00D37098" w:rsidRDefault="00000000">
            <w:pPr>
              <w:pStyle w:val="MdTableCell"/>
            </w:pPr>
            <w:r>
              <w:t>25-30% (electric)</w:t>
            </w:r>
          </w:p>
        </w:tc>
        <w:tc>
          <w:tcPr>
            <w:tcW w:w="0" w:type="auto"/>
            <w:tcMar>
              <w:top w:w="80" w:type="dxa"/>
              <w:left w:w="120" w:type="dxa"/>
              <w:bottom w:w="80" w:type="dxa"/>
              <w:right w:w="120" w:type="dxa"/>
            </w:tcMar>
            <w:vAlign w:val="center"/>
          </w:tcPr>
          <w:p w14:paraId="3A05FE26" w14:textId="77777777" w:rsidR="00D37098" w:rsidRDefault="00000000">
            <w:pPr>
              <w:pStyle w:val="MdTableCell"/>
            </w:pPr>
            <w:r>
              <w:t>Good</w:t>
            </w:r>
          </w:p>
        </w:tc>
      </w:tr>
      <w:tr w:rsidR="00D37098" w14:paraId="1A9598ED" w14:textId="77777777">
        <w:trPr>
          <w:cantSplit/>
          <w:trHeight w:val="576"/>
        </w:trPr>
        <w:tc>
          <w:tcPr>
            <w:tcW w:w="0" w:type="auto"/>
            <w:tcMar>
              <w:top w:w="80" w:type="dxa"/>
              <w:left w:w="120" w:type="dxa"/>
              <w:bottom w:w="80" w:type="dxa"/>
              <w:right w:w="120" w:type="dxa"/>
            </w:tcMar>
            <w:vAlign w:val="center"/>
          </w:tcPr>
          <w:p w14:paraId="2F487268" w14:textId="77777777" w:rsidR="00D37098" w:rsidRDefault="00000000">
            <w:pPr>
              <w:pStyle w:val="MdTableCell"/>
            </w:pPr>
            <w:r>
              <w:rPr>
                <w:rStyle w:val="MdStrong"/>
              </w:rPr>
              <w:t>Anaerobic Digestion</w:t>
            </w:r>
          </w:p>
        </w:tc>
        <w:tc>
          <w:tcPr>
            <w:tcW w:w="0" w:type="auto"/>
            <w:tcMar>
              <w:top w:w="80" w:type="dxa"/>
              <w:left w:w="120" w:type="dxa"/>
              <w:bottom w:w="80" w:type="dxa"/>
              <w:right w:w="120" w:type="dxa"/>
            </w:tcMar>
            <w:vAlign w:val="center"/>
          </w:tcPr>
          <w:p w14:paraId="0959D32E" w14:textId="77777777" w:rsidR="00D37098" w:rsidRDefault="00000000">
            <w:pPr>
              <w:pStyle w:val="MdTableCell"/>
            </w:pPr>
            <w:r>
              <w:t>$30-60K</w:t>
            </w:r>
          </w:p>
        </w:tc>
        <w:tc>
          <w:tcPr>
            <w:tcW w:w="0" w:type="auto"/>
            <w:tcMar>
              <w:top w:w="80" w:type="dxa"/>
              <w:left w:w="120" w:type="dxa"/>
              <w:bottom w:w="80" w:type="dxa"/>
              <w:right w:w="120" w:type="dxa"/>
            </w:tcMar>
            <w:vAlign w:val="center"/>
          </w:tcPr>
          <w:p w14:paraId="5607458E" w14:textId="77777777" w:rsidR="00D37098" w:rsidRDefault="00000000">
            <w:pPr>
              <w:pStyle w:val="MdTableCell"/>
            </w:pPr>
            <w:r>
              <w:t>$15-25</w:t>
            </w:r>
          </w:p>
        </w:tc>
        <w:tc>
          <w:tcPr>
            <w:tcW w:w="0" w:type="auto"/>
            <w:tcMar>
              <w:top w:w="80" w:type="dxa"/>
              <w:left w:w="120" w:type="dxa"/>
              <w:bottom w:w="80" w:type="dxa"/>
              <w:right w:w="120" w:type="dxa"/>
            </w:tcMar>
            <w:vAlign w:val="center"/>
          </w:tcPr>
          <w:p w14:paraId="70043B1D" w14:textId="77777777" w:rsidR="00D37098" w:rsidRDefault="00000000">
            <w:pPr>
              <w:pStyle w:val="MdTableCell"/>
            </w:pPr>
            <w:r>
              <w:t>60-70% (biogas)</w:t>
            </w:r>
          </w:p>
        </w:tc>
        <w:tc>
          <w:tcPr>
            <w:tcW w:w="0" w:type="auto"/>
            <w:tcMar>
              <w:top w:w="80" w:type="dxa"/>
              <w:left w:w="120" w:type="dxa"/>
              <w:bottom w:w="80" w:type="dxa"/>
              <w:right w:w="120" w:type="dxa"/>
            </w:tcMar>
            <w:vAlign w:val="center"/>
          </w:tcPr>
          <w:p w14:paraId="6D5CC244" w14:textId="77777777" w:rsidR="00D37098" w:rsidRDefault="00000000">
            <w:pPr>
              <w:pStyle w:val="MdTableCell"/>
            </w:pPr>
            <w:r>
              <w:t>Limited (organics only)</w:t>
            </w:r>
          </w:p>
        </w:tc>
      </w:tr>
      <w:tr w:rsidR="00D37098" w14:paraId="755FF724" w14:textId="77777777">
        <w:trPr>
          <w:cantSplit/>
          <w:trHeight w:val="576"/>
        </w:trPr>
        <w:tc>
          <w:tcPr>
            <w:tcW w:w="0" w:type="auto"/>
            <w:tcMar>
              <w:top w:w="80" w:type="dxa"/>
              <w:left w:w="120" w:type="dxa"/>
              <w:bottom w:w="80" w:type="dxa"/>
              <w:right w:w="120" w:type="dxa"/>
            </w:tcMar>
            <w:vAlign w:val="center"/>
          </w:tcPr>
          <w:p w14:paraId="78187710" w14:textId="77777777" w:rsidR="00D37098" w:rsidRDefault="00000000">
            <w:pPr>
              <w:pStyle w:val="MdTableCell"/>
            </w:pPr>
            <w:r>
              <w:rPr>
                <w:rStyle w:val="MdStrong"/>
              </w:rPr>
              <w:t>Pyrolysis</w:t>
            </w:r>
          </w:p>
        </w:tc>
        <w:tc>
          <w:tcPr>
            <w:tcW w:w="0" w:type="auto"/>
            <w:tcMar>
              <w:top w:w="80" w:type="dxa"/>
              <w:left w:w="120" w:type="dxa"/>
              <w:bottom w:w="80" w:type="dxa"/>
              <w:right w:w="120" w:type="dxa"/>
            </w:tcMar>
            <w:vAlign w:val="center"/>
          </w:tcPr>
          <w:p w14:paraId="5D9C9F24" w14:textId="77777777" w:rsidR="00D37098" w:rsidRDefault="00000000">
            <w:pPr>
              <w:pStyle w:val="MdTableCell"/>
            </w:pPr>
            <w:r>
              <w:t>$50-80K</w:t>
            </w:r>
          </w:p>
        </w:tc>
        <w:tc>
          <w:tcPr>
            <w:tcW w:w="0" w:type="auto"/>
            <w:tcMar>
              <w:top w:w="80" w:type="dxa"/>
              <w:left w:w="120" w:type="dxa"/>
              <w:bottom w:w="80" w:type="dxa"/>
              <w:right w:w="120" w:type="dxa"/>
            </w:tcMar>
            <w:vAlign w:val="center"/>
          </w:tcPr>
          <w:p w14:paraId="5C920B82" w14:textId="77777777" w:rsidR="00D37098" w:rsidRDefault="00000000">
            <w:pPr>
              <w:pStyle w:val="MdTableCell"/>
            </w:pPr>
            <w:r>
              <w:t>$20-30</w:t>
            </w:r>
          </w:p>
        </w:tc>
        <w:tc>
          <w:tcPr>
            <w:tcW w:w="0" w:type="auto"/>
            <w:tcMar>
              <w:top w:w="80" w:type="dxa"/>
              <w:left w:w="120" w:type="dxa"/>
              <w:bottom w:w="80" w:type="dxa"/>
              <w:right w:w="120" w:type="dxa"/>
            </w:tcMar>
            <w:vAlign w:val="center"/>
          </w:tcPr>
          <w:p w14:paraId="69D0557D" w14:textId="77777777" w:rsidR="00D37098" w:rsidRDefault="00000000">
            <w:pPr>
              <w:pStyle w:val="MdTableCell"/>
            </w:pPr>
            <w:r>
              <w:t>60-75% (bio-oil)</w:t>
            </w:r>
          </w:p>
        </w:tc>
        <w:tc>
          <w:tcPr>
            <w:tcW w:w="0" w:type="auto"/>
            <w:tcMar>
              <w:top w:w="80" w:type="dxa"/>
              <w:left w:w="120" w:type="dxa"/>
              <w:bottom w:w="80" w:type="dxa"/>
              <w:right w:w="120" w:type="dxa"/>
            </w:tcMar>
            <w:vAlign w:val="center"/>
          </w:tcPr>
          <w:p w14:paraId="786C7F63" w14:textId="77777777" w:rsidR="00D37098" w:rsidRDefault="00000000">
            <w:pPr>
              <w:pStyle w:val="MdTableCell"/>
            </w:pPr>
            <w:r>
              <w:t>Good</w:t>
            </w:r>
          </w:p>
        </w:tc>
      </w:tr>
      <w:tr w:rsidR="00D37098" w14:paraId="50FF9ABC"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7D991BC8" w14:textId="77777777" w:rsidR="00D37098" w:rsidRDefault="00000000">
            <w:pPr>
              <w:pStyle w:val="MdTableCell"/>
            </w:pPr>
            <w:r>
              <w:rPr>
                <w:rStyle w:val="MdStrong"/>
              </w:rPr>
              <w:t>Landfill</w:t>
            </w:r>
          </w:p>
        </w:tc>
        <w:tc>
          <w:tcPr>
            <w:tcW w:w="0" w:type="auto"/>
            <w:tcBorders>
              <w:bottom w:val="single" w:sz="4" w:space="0" w:color="E1E4E8"/>
            </w:tcBorders>
            <w:tcMar>
              <w:top w:w="80" w:type="dxa"/>
              <w:left w:w="120" w:type="dxa"/>
              <w:bottom w:w="80" w:type="dxa"/>
              <w:right w:w="120" w:type="dxa"/>
            </w:tcMar>
            <w:vAlign w:val="center"/>
          </w:tcPr>
          <w:p w14:paraId="75CBC3A9" w14:textId="77777777" w:rsidR="00D37098" w:rsidRDefault="00000000">
            <w:pPr>
              <w:pStyle w:val="MdTableCell"/>
            </w:pPr>
            <w:r>
              <w:t>$5-10K</w:t>
            </w:r>
          </w:p>
        </w:tc>
        <w:tc>
          <w:tcPr>
            <w:tcW w:w="0" w:type="auto"/>
            <w:tcBorders>
              <w:bottom w:val="single" w:sz="4" w:space="0" w:color="E1E4E8"/>
            </w:tcBorders>
            <w:tcMar>
              <w:top w:w="80" w:type="dxa"/>
              <w:left w:w="120" w:type="dxa"/>
              <w:bottom w:w="80" w:type="dxa"/>
              <w:right w:w="120" w:type="dxa"/>
            </w:tcMar>
            <w:vAlign w:val="center"/>
          </w:tcPr>
          <w:p w14:paraId="251E1BEA" w14:textId="77777777" w:rsidR="00D37098" w:rsidRDefault="00000000">
            <w:pPr>
              <w:pStyle w:val="MdTableCell"/>
            </w:pPr>
            <w:r>
              <w:t>$50-150</w:t>
            </w:r>
          </w:p>
        </w:tc>
        <w:tc>
          <w:tcPr>
            <w:tcW w:w="0" w:type="auto"/>
            <w:tcBorders>
              <w:bottom w:val="single" w:sz="4" w:space="0" w:color="E1E4E8"/>
            </w:tcBorders>
            <w:tcMar>
              <w:top w:w="80" w:type="dxa"/>
              <w:left w:w="120" w:type="dxa"/>
              <w:bottom w:w="80" w:type="dxa"/>
              <w:right w:w="120" w:type="dxa"/>
            </w:tcMar>
            <w:vAlign w:val="center"/>
          </w:tcPr>
          <w:p w14:paraId="0F219AAE" w14:textId="77777777" w:rsidR="00D37098" w:rsidRDefault="00000000">
            <w:pPr>
              <w:pStyle w:val="MdTableCell"/>
            </w:pPr>
            <w:r>
              <w:t>0%</w:t>
            </w:r>
          </w:p>
        </w:tc>
        <w:tc>
          <w:tcPr>
            <w:tcW w:w="0" w:type="auto"/>
            <w:tcBorders>
              <w:bottom w:val="single" w:sz="4" w:space="0" w:color="E1E4E8"/>
            </w:tcBorders>
            <w:tcMar>
              <w:top w:w="80" w:type="dxa"/>
              <w:left w:w="120" w:type="dxa"/>
              <w:bottom w:w="80" w:type="dxa"/>
              <w:right w:w="120" w:type="dxa"/>
            </w:tcMar>
            <w:vAlign w:val="center"/>
          </w:tcPr>
          <w:p w14:paraId="1737C14E" w14:textId="77777777" w:rsidR="00D37098" w:rsidRDefault="00000000">
            <w:pPr>
              <w:pStyle w:val="MdTableCell"/>
            </w:pPr>
            <w:r>
              <w:t>Excellent (but no energy recovery)</w:t>
            </w:r>
          </w:p>
        </w:tc>
      </w:tr>
    </w:tbl>
    <w:p w14:paraId="78E0107C" w14:textId="77777777" w:rsidR="00D37098" w:rsidRDefault="00000000">
      <w:pPr>
        <w:pStyle w:val="MdParagraph"/>
      </w:pPr>
      <w:r>
        <w:rPr>
          <w:rStyle w:val="MdStrong"/>
        </w:rPr>
        <w:t>X-150 Advantage:</w:t>
      </w:r>
      <w:r>
        <w:t xml:space="preserve"> The X-150 offers the best combination of capital efficiency, operating cost, energy efficiency, and feedstock flexibility in the distributed waste-to-energy market.</w:t>
      </w:r>
    </w:p>
    <w:p w14:paraId="46E55E5B" w14:textId="77777777" w:rsidR="00D37098" w:rsidRDefault="00D37098">
      <w:pPr>
        <w:pStyle w:val="MdSpace"/>
        <w:spacing w:after="60"/>
      </w:pPr>
    </w:p>
    <w:p w14:paraId="6861A5E5" w14:textId="77777777" w:rsidR="00D37098" w:rsidRDefault="00D37098">
      <w:pPr>
        <w:pStyle w:val="MdHr"/>
        <w:pBdr>
          <w:bottom w:val="single" w:sz="6" w:space="1" w:color="auto"/>
        </w:pBdr>
      </w:pPr>
    </w:p>
    <w:p w14:paraId="05261E0F" w14:textId="77777777" w:rsidR="00D37098" w:rsidRDefault="00D37098">
      <w:pPr>
        <w:pStyle w:val="MdSpace"/>
        <w:spacing w:after="60"/>
      </w:pPr>
    </w:p>
    <w:p w14:paraId="225BCD17" w14:textId="77777777" w:rsidR="00D37098" w:rsidRDefault="00000000">
      <w:pPr>
        <w:pStyle w:val="MdHeading2"/>
      </w:pPr>
      <w:r>
        <w:t>8. Competitive Advantages</w:t>
      </w:r>
    </w:p>
    <w:p w14:paraId="36D7A234" w14:textId="77777777" w:rsidR="00D37098" w:rsidRDefault="00000000">
      <w:pPr>
        <w:pStyle w:val="MdHeading3"/>
      </w:pPr>
      <w:r>
        <w:t>8.1 Technical Advantages</w:t>
      </w:r>
    </w:p>
    <w:p w14:paraId="09767D3C" w14:textId="77777777" w:rsidR="00D37098" w:rsidRDefault="00000000">
      <w:pPr>
        <w:pStyle w:val="MdParagraph"/>
      </w:pPr>
      <w:proofErr w:type="spellStart"/>
      <w:r>
        <w:rPr>
          <w:rStyle w:val="MdStrong"/>
        </w:rPr>
        <w:t>SyngaPure</w:t>
      </w:r>
      <w:proofErr w:type="spellEnd"/>
      <w:r>
        <w:rPr>
          <w:rStyle w:val="MdStrong"/>
        </w:rPr>
        <w:t>™ Breakthrough:</w:t>
      </w:r>
      <w:r>
        <w:t xml:space="preserve"> The 94% tar removal capability is a game-changer that enables applications impossible for competing gasification technologies:</w:t>
      </w:r>
    </w:p>
    <w:p w14:paraId="21AF2032" w14:textId="77777777" w:rsidR="00D37098" w:rsidRDefault="00D37098">
      <w:pPr>
        <w:pStyle w:val="MdSpace"/>
        <w:spacing w:after="60"/>
      </w:pPr>
    </w:p>
    <w:p w14:paraId="5672D6E2" w14:textId="77777777" w:rsidR="00D37098" w:rsidRDefault="00000000">
      <w:pPr>
        <w:pStyle w:val="MdListItem"/>
        <w:numPr>
          <w:ilvl w:val="0"/>
          <w:numId w:val="2"/>
        </w:numPr>
      </w:pPr>
      <w:r>
        <w:rPr>
          <w:rStyle w:val="MdStrong"/>
        </w:rPr>
        <w:t>SOFC Fuel Cells:</w:t>
      </w:r>
      <w:r>
        <w:t xml:space="preserve"> Require &lt;0.1 ppm tar; </w:t>
      </w:r>
      <w:proofErr w:type="spellStart"/>
      <w:r>
        <w:t>SyngaPure</w:t>
      </w:r>
      <w:proofErr w:type="spellEnd"/>
      <w:r>
        <w:t>™ makes this achievable</w:t>
      </w:r>
    </w:p>
    <w:p w14:paraId="0EAA8933" w14:textId="77777777" w:rsidR="00D37098" w:rsidRDefault="00000000">
      <w:pPr>
        <w:pStyle w:val="MdListItem"/>
        <w:numPr>
          <w:ilvl w:val="0"/>
          <w:numId w:val="2"/>
        </w:numPr>
      </w:pPr>
      <w:r>
        <w:rPr>
          <w:rStyle w:val="MdStrong"/>
        </w:rPr>
        <w:t>SAF Production:</w:t>
      </w:r>
      <w:r>
        <w:t xml:space="preserve"> Fischer-Tropsch synthesis requires ultra-clean syngas</w:t>
      </w:r>
    </w:p>
    <w:p w14:paraId="3F5E2EFC" w14:textId="77777777" w:rsidR="00D37098" w:rsidRDefault="00000000">
      <w:pPr>
        <w:pStyle w:val="MdListItem"/>
        <w:numPr>
          <w:ilvl w:val="0"/>
          <w:numId w:val="2"/>
        </w:numPr>
      </w:pPr>
      <w:r>
        <w:rPr>
          <w:rStyle w:val="MdStrong"/>
        </w:rPr>
        <w:t>Long-Term Reliability:</w:t>
      </w:r>
      <w:r>
        <w:t xml:space="preserve"> Eliminates tar-related fouling and maintenance</w:t>
      </w:r>
    </w:p>
    <w:p w14:paraId="1B3D6200" w14:textId="77777777" w:rsidR="00D37098" w:rsidRDefault="00D37098">
      <w:pPr>
        <w:pStyle w:val="MdSpace"/>
        <w:spacing w:after="60"/>
      </w:pPr>
    </w:p>
    <w:p w14:paraId="1CE5556C" w14:textId="77777777" w:rsidR="00D37098" w:rsidRDefault="00000000">
      <w:pPr>
        <w:pStyle w:val="MdParagraph"/>
      </w:pPr>
      <w:r>
        <w:rPr>
          <w:rStyle w:val="MdStrong"/>
        </w:rPr>
        <w:t>Proven Performance:</w:t>
      </w:r>
      <w:r>
        <w:t xml:space="preserve"> 1,300 operating hours at Paris facility with zero gasifier maintenance demonstrates reliability that most competing technologies cannot match.</w:t>
      </w:r>
    </w:p>
    <w:p w14:paraId="250AC549" w14:textId="77777777" w:rsidR="00D37098" w:rsidRDefault="00D37098">
      <w:pPr>
        <w:pStyle w:val="MdSpace"/>
        <w:spacing w:after="60"/>
      </w:pPr>
    </w:p>
    <w:p w14:paraId="293F4C13" w14:textId="77777777" w:rsidR="00D37098" w:rsidRDefault="00000000">
      <w:pPr>
        <w:pStyle w:val="MdParagraph"/>
      </w:pPr>
      <w:r>
        <w:rPr>
          <w:rStyle w:val="MdStrong"/>
        </w:rPr>
        <w:t>Modular Design:</w:t>
      </w:r>
      <w:r>
        <w:t xml:space="preserve"> Factory-built, relocatable systems enable faster deployment and lower on-site construction costs compared to site-built facilities.</w:t>
      </w:r>
    </w:p>
    <w:p w14:paraId="7C564479" w14:textId="77777777" w:rsidR="00D37098" w:rsidRDefault="00D37098">
      <w:pPr>
        <w:pStyle w:val="MdSpace"/>
        <w:spacing w:after="60"/>
      </w:pPr>
    </w:p>
    <w:p w14:paraId="148DD26A" w14:textId="77777777" w:rsidR="00D37098" w:rsidRDefault="00000000">
      <w:pPr>
        <w:pStyle w:val="MdParagraph"/>
      </w:pPr>
      <w:r>
        <w:rPr>
          <w:rStyle w:val="MdStrong"/>
        </w:rPr>
        <w:lastRenderedPageBreak/>
        <w:t>Feedstock Flexibility:</w:t>
      </w:r>
      <w:r>
        <w:t xml:space="preserve"> Accepts diverse waste streams with minimal preparation, creating resilience to feedstock supply disruptions.</w:t>
      </w:r>
    </w:p>
    <w:p w14:paraId="1FCDFB1C" w14:textId="77777777" w:rsidR="00D37098" w:rsidRDefault="00D37098">
      <w:pPr>
        <w:pStyle w:val="MdSpace"/>
        <w:spacing w:after="60"/>
      </w:pPr>
    </w:p>
    <w:p w14:paraId="3C272967" w14:textId="77777777" w:rsidR="00D37098" w:rsidRDefault="00000000">
      <w:pPr>
        <w:pStyle w:val="MdHeading3"/>
      </w:pPr>
      <w:r>
        <w:t>8.2 Business Model Advantages</w:t>
      </w:r>
    </w:p>
    <w:p w14:paraId="456C3227" w14:textId="77777777" w:rsidR="00D37098" w:rsidRDefault="00000000">
      <w:pPr>
        <w:pStyle w:val="MdParagraph"/>
      </w:pPr>
      <w:r>
        <w:rPr>
          <w:rStyle w:val="MdStrong"/>
        </w:rPr>
        <w:t>Multiple Revenue Streams:</w:t>
      </w:r>
      <w:r>
        <w:t xml:space="preserve"> Unlike competing technologies that rely solely on tipping fees or energy sales, the X-150 captures value from:</w:t>
      </w:r>
    </w:p>
    <w:p w14:paraId="62CCE4EC" w14:textId="77777777" w:rsidR="00D37098" w:rsidRDefault="00000000">
      <w:pPr>
        <w:pStyle w:val="MdListItem"/>
        <w:numPr>
          <w:ilvl w:val="0"/>
          <w:numId w:val="3"/>
        </w:numPr>
      </w:pPr>
      <w:r>
        <w:t>Tipping fees (waste disposal avoidance)</w:t>
      </w:r>
    </w:p>
    <w:p w14:paraId="69771B02" w14:textId="77777777" w:rsidR="00D37098" w:rsidRDefault="00000000">
      <w:pPr>
        <w:pStyle w:val="MdListItem"/>
        <w:numPr>
          <w:ilvl w:val="0"/>
          <w:numId w:val="3"/>
        </w:numPr>
      </w:pPr>
      <w:r>
        <w:t>Energy sales (electricity, heat, cooling, hydrogen, SAF, RNG)</w:t>
      </w:r>
    </w:p>
    <w:p w14:paraId="1953FD70" w14:textId="77777777" w:rsidR="00D37098" w:rsidRDefault="00000000">
      <w:pPr>
        <w:pStyle w:val="MdListItem"/>
        <w:numPr>
          <w:ilvl w:val="0"/>
          <w:numId w:val="3"/>
        </w:numPr>
      </w:pPr>
      <w:r>
        <w:t>Carbon credits (GHG emissions reduction)</w:t>
      </w:r>
    </w:p>
    <w:p w14:paraId="462E5FC5" w14:textId="77777777" w:rsidR="00D37098" w:rsidRDefault="00000000">
      <w:pPr>
        <w:pStyle w:val="MdListItem"/>
        <w:numPr>
          <w:ilvl w:val="0"/>
          <w:numId w:val="3"/>
        </w:numPr>
      </w:pPr>
      <w:r>
        <w:t>Biochar sales (agricultural soil amendment)</w:t>
      </w:r>
    </w:p>
    <w:p w14:paraId="7C1CD73D" w14:textId="77777777" w:rsidR="00D37098" w:rsidRDefault="00D37098">
      <w:pPr>
        <w:pStyle w:val="MdSpace"/>
        <w:spacing w:after="60"/>
      </w:pPr>
    </w:p>
    <w:p w14:paraId="797A34B8" w14:textId="77777777" w:rsidR="00D37098" w:rsidRDefault="00000000">
      <w:pPr>
        <w:pStyle w:val="MdParagraph"/>
      </w:pPr>
      <w:r>
        <w:t>This diversification reduces business risk and increases total revenue potential.</w:t>
      </w:r>
    </w:p>
    <w:p w14:paraId="604576E5" w14:textId="77777777" w:rsidR="00D37098" w:rsidRDefault="00D37098">
      <w:pPr>
        <w:pStyle w:val="MdSpace"/>
        <w:spacing w:after="60"/>
      </w:pPr>
    </w:p>
    <w:p w14:paraId="63EF195D" w14:textId="77777777" w:rsidR="00D37098" w:rsidRDefault="00000000">
      <w:pPr>
        <w:pStyle w:val="MdParagraph"/>
      </w:pPr>
      <w:r>
        <w:rPr>
          <w:rStyle w:val="MdStrong"/>
        </w:rPr>
        <w:t>Scalability:</w:t>
      </w:r>
      <w:r>
        <w:t xml:space="preserve"> The modular design enables deployment at scales from single units (3.6 tonnes/day) to large multi-unit installations (100+ tonnes/day), serving markets that large centralized facilities cannot economically address.</w:t>
      </w:r>
    </w:p>
    <w:p w14:paraId="66ACED62" w14:textId="77777777" w:rsidR="00D37098" w:rsidRDefault="00D37098">
      <w:pPr>
        <w:pStyle w:val="MdSpace"/>
        <w:spacing w:after="60"/>
      </w:pPr>
    </w:p>
    <w:p w14:paraId="131BB853" w14:textId="77777777" w:rsidR="00D37098" w:rsidRDefault="00000000">
      <w:pPr>
        <w:pStyle w:val="MdParagraph"/>
      </w:pPr>
      <w:r>
        <w:rPr>
          <w:rStyle w:val="MdStrong"/>
        </w:rPr>
        <w:t>Flexibility:</w:t>
      </w:r>
      <w:r>
        <w:t xml:space="preserve"> Multiple configuration options (VOLT, HEAT, CHILL, H₂, SAF, RNG) allow customization to match specific customer needs and maximize value in different markets.</w:t>
      </w:r>
    </w:p>
    <w:p w14:paraId="297AF4F6" w14:textId="77777777" w:rsidR="00D37098" w:rsidRDefault="00D37098">
      <w:pPr>
        <w:pStyle w:val="MdSpace"/>
        <w:spacing w:after="60"/>
      </w:pPr>
    </w:p>
    <w:p w14:paraId="6D144CAB" w14:textId="77777777" w:rsidR="00D37098" w:rsidRDefault="00000000">
      <w:pPr>
        <w:pStyle w:val="MdHeading3"/>
      </w:pPr>
      <w:r>
        <w:t>8.3 Partnership Advantages</w:t>
      </w:r>
    </w:p>
    <w:p w14:paraId="3ECE2B04" w14:textId="77777777" w:rsidR="00D37098" w:rsidRDefault="00000000">
      <w:pPr>
        <w:pStyle w:val="MdParagraph"/>
      </w:pPr>
      <w:r>
        <w:rPr>
          <w:rStyle w:val="MdStrong"/>
        </w:rPr>
        <w:t>MFC Manufacturing:</w:t>
      </w:r>
      <w:r>
        <w:t xml:space="preserve"> Partnership with MFC Multi Fuel Conversion GmbH provides:</w:t>
      </w:r>
    </w:p>
    <w:p w14:paraId="06550BB4" w14:textId="77777777" w:rsidR="00D37098" w:rsidRDefault="00000000">
      <w:pPr>
        <w:pStyle w:val="MdListItem"/>
        <w:numPr>
          <w:ilvl w:val="0"/>
          <w:numId w:val="2"/>
        </w:numPr>
      </w:pPr>
      <w:r>
        <w:rPr>
          <w:rStyle w:val="MdStrong"/>
        </w:rPr>
        <w:t>German Engineering Credibility:</w:t>
      </w:r>
      <w:r>
        <w:t xml:space="preserve"> MFC's reputation for quality and reliability</w:t>
      </w:r>
    </w:p>
    <w:p w14:paraId="07AEA44D" w14:textId="77777777" w:rsidR="00D37098" w:rsidRDefault="00000000">
      <w:pPr>
        <w:pStyle w:val="MdListItem"/>
        <w:numPr>
          <w:ilvl w:val="0"/>
          <w:numId w:val="2"/>
        </w:numPr>
      </w:pPr>
      <w:r>
        <w:rPr>
          <w:rStyle w:val="MdStrong"/>
        </w:rPr>
        <w:t>Established Manufacturing:</w:t>
      </w:r>
      <w:r>
        <w:t xml:space="preserve"> Factory-built systems with consistent quality</w:t>
      </w:r>
    </w:p>
    <w:p w14:paraId="51E1E262" w14:textId="77777777" w:rsidR="00D37098" w:rsidRDefault="00000000">
      <w:pPr>
        <w:pStyle w:val="MdListItem"/>
        <w:numPr>
          <w:ilvl w:val="0"/>
          <w:numId w:val="2"/>
        </w:numPr>
      </w:pPr>
      <w:r>
        <w:rPr>
          <w:rStyle w:val="MdStrong"/>
        </w:rPr>
        <w:t>Global Delivery Capability:</w:t>
      </w:r>
      <w:r>
        <w:t xml:space="preserve"> MFC's existing supply chain and logistics</w:t>
      </w:r>
    </w:p>
    <w:p w14:paraId="61B69D38" w14:textId="77777777" w:rsidR="00D37098" w:rsidRDefault="00000000">
      <w:pPr>
        <w:pStyle w:val="MdListItem"/>
        <w:numPr>
          <w:ilvl w:val="0"/>
          <w:numId w:val="2"/>
        </w:numPr>
      </w:pPr>
      <w:r>
        <w:rPr>
          <w:rStyle w:val="MdStrong"/>
        </w:rPr>
        <w:t>Government Validation:</w:t>
      </w:r>
      <w:r>
        <w:t xml:space="preserve"> MFC's projects receive German government funding (</w:t>
      </w:r>
      <w:proofErr w:type="spellStart"/>
      <w:r>
        <w:t>PtJ</w:t>
      </w:r>
      <w:proofErr w:type="spellEnd"/>
      <w:r>
        <w:t>, SAB)</w:t>
      </w:r>
    </w:p>
    <w:p w14:paraId="35BA6275" w14:textId="77777777" w:rsidR="00D37098" w:rsidRDefault="00D37098">
      <w:pPr>
        <w:pStyle w:val="MdSpace"/>
        <w:spacing w:after="60"/>
      </w:pPr>
    </w:p>
    <w:p w14:paraId="4A5FF8AC" w14:textId="77777777" w:rsidR="00D37098" w:rsidRDefault="00000000">
      <w:pPr>
        <w:pStyle w:val="MdParagraph"/>
      </w:pPr>
      <w:r>
        <w:rPr>
          <w:rStyle w:val="MdStrong"/>
        </w:rPr>
        <w:t>Research Credibility:</w:t>
      </w:r>
      <w:r>
        <w:t xml:space="preserve"> Zero-X's role as research partner to MFC demonstrates technical expertise and innovation capability, building confidence with customers and investors.</w:t>
      </w:r>
    </w:p>
    <w:p w14:paraId="5ED3B3FA" w14:textId="77777777" w:rsidR="00D37098" w:rsidRDefault="00D37098">
      <w:pPr>
        <w:pStyle w:val="MdSpace"/>
        <w:spacing w:after="60"/>
      </w:pPr>
    </w:p>
    <w:p w14:paraId="7AAC6152" w14:textId="77777777" w:rsidR="00D37098" w:rsidRDefault="00000000">
      <w:pPr>
        <w:pStyle w:val="MdHeading3"/>
      </w:pPr>
      <w:r>
        <w:t>8.4 Market Positioning Advantages</w:t>
      </w:r>
    </w:p>
    <w:p w14:paraId="421E8F62" w14:textId="77777777" w:rsidR="00D37098" w:rsidRDefault="00000000">
      <w:pPr>
        <w:pStyle w:val="MdParagraph"/>
      </w:pPr>
      <w:r>
        <w:rPr>
          <w:rStyle w:val="MdStrong"/>
        </w:rPr>
        <w:t>Distributed Scale:</w:t>
      </w:r>
      <w:r>
        <w:t xml:space="preserve"> The X-150's 3.6 tonnes/day capacity is optimal for:</w:t>
      </w:r>
    </w:p>
    <w:p w14:paraId="296F818A" w14:textId="77777777" w:rsidR="00D37098" w:rsidRDefault="00000000">
      <w:pPr>
        <w:pStyle w:val="MdListItem"/>
        <w:numPr>
          <w:ilvl w:val="0"/>
          <w:numId w:val="2"/>
        </w:numPr>
      </w:pPr>
      <w:r>
        <w:t>Small-to-medium industrial facilities</w:t>
      </w:r>
    </w:p>
    <w:p w14:paraId="35C943EE" w14:textId="77777777" w:rsidR="00D37098" w:rsidRDefault="00000000">
      <w:pPr>
        <w:pStyle w:val="MdListItem"/>
        <w:numPr>
          <w:ilvl w:val="0"/>
          <w:numId w:val="2"/>
        </w:numPr>
      </w:pPr>
      <w:r>
        <w:t>Craft breweries and food processors</w:t>
      </w:r>
    </w:p>
    <w:p w14:paraId="053FCF2A" w14:textId="77777777" w:rsidR="00D37098" w:rsidRDefault="00000000">
      <w:pPr>
        <w:pStyle w:val="MdListItem"/>
        <w:numPr>
          <w:ilvl w:val="0"/>
          <w:numId w:val="2"/>
        </w:numPr>
      </w:pPr>
      <w:r>
        <w:t>Agricultural operations</w:t>
      </w:r>
    </w:p>
    <w:p w14:paraId="7BFB3F98" w14:textId="77777777" w:rsidR="00D37098" w:rsidRDefault="00000000">
      <w:pPr>
        <w:pStyle w:val="MdListItem"/>
        <w:numPr>
          <w:ilvl w:val="0"/>
          <w:numId w:val="2"/>
        </w:numPr>
      </w:pPr>
      <w:r>
        <w:t>Remote locations</w:t>
      </w:r>
    </w:p>
    <w:p w14:paraId="70C3930A" w14:textId="77777777" w:rsidR="00D37098" w:rsidRDefault="00000000">
      <w:pPr>
        <w:pStyle w:val="MdListItem"/>
        <w:numPr>
          <w:ilvl w:val="0"/>
          <w:numId w:val="2"/>
        </w:numPr>
      </w:pPr>
      <w:r>
        <w:t>Temporary or mobile installations</w:t>
      </w:r>
    </w:p>
    <w:p w14:paraId="19ECEB55" w14:textId="77777777" w:rsidR="00D37098" w:rsidRDefault="00D37098">
      <w:pPr>
        <w:pStyle w:val="MdSpace"/>
        <w:spacing w:after="60"/>
      </w:pPr>
    </w:p>
    <w:p w14:paraId="310CE9BB" w14:textId="77777777" w:rsidR="00D37098" w:rsidRDefault="00000000">
      <w:pPr>
        <w:pStyle w:val="MdParagraph"/>
      </w:pPr>
      <w:r>
        <w:lastRenderedPageBreak/>
        <w:t>This scale avoids direct competition with large centralized waste-to-energy facilities (100,000+ tonnes/year) while serving a large, underserved market.</w:t>
      </w:r>
    </w:p>
    <w:p w14:paraId="576F7A35" w14:textId="77777777" w:rsidR="00D37098" w:rsidRDefault="00D37098">
      <w:pPr>
        <w:pStyle w:val="MdSpace"/>
        <w:spacing w:after="60"/>
      </w:pPr>
    </w:p>
    <w:p w14:paraId="6AB023D6" w14:textId="77777777" w:rsidR="00D37098" w:rsidRDefault="00000000">
      <w:pPr>
        <w:pStyle w:val="MdParagraph"/>
      </w:pPr>
      <w:r>
        <w:rPr>
          <w:rStyle w:val="MdStrong"/>
        </w:rPr>
        <w:t>First-Mover Advantage:</w:t>
      </w:r>
      <w:r>
        <w:t xml:space="preserve"> The combination of proven gasification + breakthrough tar removal + multiple configurations creates a unique market position with limited direct competition.</w:t>
      </w:r>
    </w:p>
    <w:p w14:paraId="025BA7C1" w14:textId="77777777" w:rsidR="00D37098" w:rsidRDefault="00D37098">
      <w:pPr>
        <w:pStyle w:val="MdSpace"/>
        <w:spacing w:after="60"/>
      </w:pPr>
    </w:p>
    <w:p w14:paraId="113F56E1" w14:textId="77777777" w:rsidR="00D37098" w:rsidRDefault="00D37098">
      <w:pPr>
        <w:pStyle w:val="MdHr"/>
        <w:pBdr>
          <w:bottom w:val="single" w:sz="6" w:space="1" w:color="auto"/>
        </w:pBdr>
      </w:pPr>
    </w:p>
    <w:p w14:paraId="45F4BF52" w14:textId="77777777" w:rsidR="00D37098" w:rsidRDefault="00D37098">
      <w:pPr>
        <w:pStyle w:val="MdSpace"/>
        <w:spacing w:after="60"/>
      </w:pPr>
    </w:p>
    <w:p w14:paraId="595C8581" w14:textId="77777777" w:rsidR="00D37098" w:rsidRDefault="00000000">
      <w:pPr>
        <w:pStyle w:val="MdHeading2"/>
      </w:pPr>
      <w:r>
        <w:t>9. Project Execution &amp; Timeline</w:t>
      </w:r>
    </w:p>
    <w:p w14:paraId="4D7A8219" w14:textId="77777777" w:rsidR="00D37098" w:rsidRDefault="00000000">
      <w:pPr>
        <w:pStyle w:val="MdHeading3"/>
      </w:pPr>
      <w:r>
        <w:t>9.1 Typical Project Phases</w:t>
      </w:r>
    </w:p>
    <w:p w14:paraId="6FDDE9EC" w14:textId="77777777" w:rsidR="00D37098" w:rsidRDefault="00000000">
      <w:pPr>
        <w:pStyle w:val="MdParagraph"/>
      </w:pPr>
      <w:r>
        <w:t>A typical X-150 deployment follows a structured 15-18 month timeline from initial consultation to commercial operation:</w:t>
      </w:r>
    </w:p>
    <w:p w14:paraId="2F63F1B4" w14:textId="77777777" w:rsidR="00D37098" w:rsidRDefault="00D37098">
      <w:pPr>
        <w:pStyle w:val="MdSpace"/>
        <w:spacing w:after="60"/>
      </w:pPr>
    </w:p>
    <w:p w14:paraId="283C60AE" w14:textId="77777777" w:rsidR="00D37098" w:rsidRDefault="00000000">
      <w:pPr>
        <w:pStyle w:val="MdParagraph"/>
      </w:pPr>
      <w:r>
        <w:rPr>
          <w:rStyle w:val="MdStrong"/>
        </w:rPr>
        <w:t>Phase 1: Feasibility &amp; Design (1-2 months)</w:t>
      </w:r>
    </w:p>
    <w:p w14:paraId="2F55C855" w14:textId="77777777" w:rsidR="00D37098" w:rsidRDefault="00000000">
      <w:pPr>
        <w:pStyle w:val="MdListItem"/>
        <w:numPr>
          <w:ilvl w:val="0"/>
          <w:numId w:val="2"/>
        </w:numPr>
      </w:pPr>
      <w:r>
        <w:t>Initial consultation and site assessment</w:t>
      </w:r>
    </w:p>
    <w:p w14:paraId="08F3258C" w14:textId="77777777" w:rsidR="00D37098" w:rsidRDefault="00000000">
      <w:pPr>
        <w:pStyle w:val="MdListItem"/>
        <w:numPr>
          <w:ilvl w:val="0"/>
          <w:numId w:val="2"/>
        </w:numPr>
      </w:pPr>
      <w:r>
        <w:t>Feedstock characterization and testing</w:t>
      </w:r>
    </w:p>
    <w:p w14:paraId="72F415F7" w14:textId="77777777" w:rsidR="00D37098" w:rsidRDefault="00000000">
      <w:pPr>
        <w:pStyle w:val="MdListItem"/>
        <w:numPr>
          <w:ilvl w:val="0"/>
          <w:numId w:val="2"/>
        </w:numPr>
      </w:pPr>
      <w:r>
        <w:t>System sizing and configuration selection</w:t>
      </w:r>
    </w:p>
    <w:p w14:paraId="18FBA815" w14:textId="77777777" w:rsidR="00D37098" w:rsidRDefault="00000000">
      <w:pPr>
        <w:pStyle w:val="MdListItem"/>
        <w:numPr>
          <w:ilvl w:val="0"/>
          <w:numId w:val="2"/>
        </w:numPr>
      </w:pPr>
      <w:r>
        <w:t xml:space="preserve">Economic analysis and financial </w:t>
      </w:r>
      <w:proofErr w:type="spellStart"/>
      <w:r>
        <w:t>modeling</w:t>
      </w:r>
      <w:proofErr w:type="spellEnd"/>
    </w:p>
    <w:p w14:paraId="096BF125" w14:textId="77777777" w:rsidR="00D37098" w:rsidRDefault="00000000">
      <w:pPr>
        <w:pStyle w:val="MdListItem"/>
        <w:numPr>
          <w:ilvl w:val="0"/>
          <w:numId w:val="2"/>
        </w:numPr>
      </w:pPr>
      <w:r>
        <w:t>Feasibility report and go/no-go decision</w:t>
      </w:r>
    </w:p>
    <w:p w14:paraId="0D0EBECF" w14:textId="77777777" w:rsidR="00D37098" w:rsidRDefault="00D37098">
      <w:pPr>
        <w:pStyle w:val="MdSpace"/>
        <w:spacing w:after="60"/>
      </w:pPr>
    </w:p>
    <w:p w14:paraId="09BABEAE" w14:textId="77777777" w:rsidR="00D37098" w:rsidRDefault="00000000">
      <w:pPr>
        <w:pStyle w:val="MdParagraph"/>
      </w:pPr>
      <w:r>
        <w:rPr>
          <w:rStyle w:val="MdStrong"/>
        </w:rPr>
        <w:t>Phase 2: Engineering &amp; Design (2-3 months)</w:t>
      </w:r>
    </w:p>
    <w:p w14:paraId="5C31C485" w14:textId="77777777" w:rsidR="00D37098" w:rsidRDefault="00000000">
      <w:pPr>
        <w:pStyle w:val="MdListItem"/>
        <w:numPr>
          <w:ilvl w:val="0"/>
          <w:numId w:val="2"/>
        </w:numPr>
      </w:pPr>
      <w:r>
        <w:t>Detailed system design and P&amp;IDs</w:t>
      </w:r>
    </w:p>
    <w:p w14:paraId="7C4CFBB4" w14:textId="77777777" w:rsidR="00D37098" w:rsidRDefault="00000000">
      <w:pPr>
        <w:pStyle w:val="MdListItem"/>
        <w:numPr>
          <w:ilvl w:val="0"/>
          <w:numId w:val="2"/>
        </w:numPr>
      </w:pPr>
      <w:r>
        <w:t>Catalyst integration engineering</w:t>
      </w:r>
    </w:p>
    <w:p w14:paraId="30611CFB" w14:textId="77777777" w:rsidR="00D37098" w:rsidRDefault="00000000">
      <w:pPr>
        <w:pStyle w:val="MdListItem"/>
        <w:numPr>
          <w:ilvl w:val="0"/>
          <w:numId w:val="2"/>
        </w:numPr>
      </w:pPr>
      <w:r>
        <w:t>Regulatory approvals and permitting</w:t>
      </w:r>
    </w:p>
    <w:p w14:paraId="18A194F0" w14:textId="77777777" w:rsidR="00D37098" w:rsidRDefault="00000000">
      <w:pPr>
        <w:pStyle w:val="MdListItem"/>
        <w:numPr>
          <w:ilvl w:val="0"/>
          <w:numId w:val="2"/>
        </w:numPr>
      </w:pPr>
      <w:r>
        <w:t>Financing arrangements (if BOO model)</w:t>
      </w:r>
    </w:p>
    <w:p w14:paraId="09DB872B" w14:textId="77777777" w:rsidR="00D37098" w:rsidRDefault="00000000">
      <w:pPr>
        <w:pStyle w:val="MdListItem"/>
        <w:numPr>
          <w:ilvl w:val="0"/>
          <w:numId w:val="2"/>
        </w:numPr>
      </w:pPr>
      <w:r>
        <w:t>Equipment procurement initiation</w:t>
      </w:r>
    </w:p>
    <w:p w14:paraId="45DD3724" w14:textId="77777777" w:rsidR="00D37098" w:rsidRDefault="00D37098">
      <w:pPr>
        <w:pStyle w:val="MdSpace"/>
        <w:spacing w:after="60"/>
      </w:pPr>
    </w:p>
    <w:p w14:paraId="52993499" w14:textId="77777777" w:rsidR="00D37098" w:rsidRDefault="00000000">
      <w:pPr>
        <w:pStyle w:val="MdParagraph"/>
      </w:pPr>
      <w:r>
        <w:rPr>
          <w:rStyle w:val="MdStrong"/>
        </w:rPr>
        <w:t>Phase 3: Manufacturing (3-4 months)</w:t>
      </w:r>
    </w:p>
    <w:p w14:paraId="5A83A739" w14:textId="77777777" w:rsidR="00D37098" w:rsidRDefault="00000000">
      <w:pPr>
        <w:pStyle w:val="MdListItem"/>
        <w:numPr>
          <w:ilvl w:val="0"/>
          <w:numId w:val="2"/>
        </w:numPr>
      </w:pPr>
      <w:r>
        <w:t>X-150 gasifier manufacturing at MFC facility (Germany)</w:t>
      </w:r>
    </w:p>
    <w:p w14:paraId="07B32727" w14:textId="77777777" w:rsidR="00D37098" w:rsidRDefault="00000000">
      <w:pPr>
        <w:pStyle w:val="MdListItem"/>
        <w:numPr>
          <w:ilvl w:val="0"/>
          <w:numId w:val="2"/>
        </w:numPr>
      </w:pPr>
      <w:proofErr w:type="spellStart"/>
      <w:r>
        <w:t>SyngaPure</w:t>
      </w:r>
      <w:proofErr w:type="spellEnd"/>
      <w:r>
        <w:t>™ catalyst production</w:t>
      </w:r>
    </w:p>
    <w:p w14:paraId="7EF1B6CA" w14:textId="77777777" w:rsidR="00D37098" w:rsidRDefault="00000000">
      <w:pPr>
        <w:pStyle w:val="MdListItem"/>
        <w:numPr>
          <w:ilvl w:val="0"/>
          <w:numId w:val="2"/>
        </w:numPr>
      </w:pPr>
      <w:r>
        <w:t>Balance of plant equipment procurement</w:t>
      </w:r>
    </w:p>
    <w:p w14:paraId="19FE695B" w14:textId="77777777" w:rsidR="00D37098" w:rsidRDefault="00000000">
      <w:pPr>
        <w:pStyle w:val="MdListItem"/>
        <w:numPr>
          <w:ilvl w:val="0"/>
          <w:numId w:val="2"/>
        </w:numPr>
      </w:pPr>
      <w:r>
        <w:t>Factory acceptance testing (FAT)</w:t>
      </w:r>
    </w:p>
    <w:p w14:paraId="501C9935" w14:textId="77777777" w:rsidR="00D37098" w:rsidRDefault="00000000">
      <w:pPr>
        <w:pStyle w:val="MdListItem"/>
        <w:numPr>
          <w:ilvl w:val="0"/>
          <w:numId w:val="2"/>
        </w:numPr>
      </w:pPr>
      <w:r>
        <w:t>Logistics and shipping</w:t>
      </w:r>
    </w:p>
    <w:p w14:paraId="742E553A" w14:textId="77777777" w:rsidR="00D37098" w:rsidRDefault="00D37098">
      <w:pPr>
        <w:pStyle w:val="MdSpace"/>
        <w:spacing w:after="60"/>
      </w:pPr>
    </w:p>
    <w:p w14:paraId="30887D25" w14:textId="77777777" w:rsidR="00D37098" w:rsidRDefault="00000000">
      <w:pPr>
        <w:pStyle w:val="MdParagraph"/>
      </w:pPr>
      <w:r>
        <w:rPr>
          <w:rStyle w:val="MdStrong"/>
        </w:rPr>
        <w:t>Phase 4: Installation &amp; Commissioning (2-3 months)</w:t>
      </w:r>
    </w:p>
    <w:p w14:paraId="7F35BDA5" w14:textId="77777777" w:rsidR="00D37098" w:rsidRDefault="00000000">
      <w:pPr>
        <w:pStyle w:val="MdListItem"/>
        <w:numPr>
          <w:ilvl w:val="0"/>
          <w:numId w:val="2"/>
        </w:numPr>
      </w:pPr>
      <w:r>
        <w:t>Site preparation and civil works</w:t>
      </w:r>
    </w:p>
    <w:p w14:paraId="4BB94E8A" w14:textId="77777777" w:rsidR="00D37098" w:rsidRDefault="00000000">
      <w:pPr>
        <w:pStyle w:val="MdListItem"/>
        <w:numPr>
          <w:ilvl w:val="0"/>
          <w:numId w:val="2"/>
        </w:numPr>
      </w:pPr>
      <w:r>
        <w:t>Equipment installation and integration</w:t>
      </w:r>
    </w:p>
    <w:p w14:paraId="1F06D7AE" w14:textId="77777777" w:rsidR="00D37098" w:rsidRDefault="00000000">
      <w:pPr>
        <w:pStyle w:val="MdListItem"/>
        <w:numPr>
          <w:ilvl w:val="0"/>
          <w:numId w:val="2"/>
        </w:numPr>
      </w:pPr>
      <w:r>
        <w:t>System commissioning and testing</w:t>
      </w:r>
    </w:p>
    <w:p w14:paraId="648CF5FE" w14:textId="77777777" w:rsidR="00D37098" w:rsidRDefault="00000000">
      <w:pPr>
        <w:pStyle w:val="MdListItem"/>
        <w:numPr>
          <w:ilvl w:val="0"/>
          <w:numId w:val="2"/>
        </w:numPr>
      </w:pPr>
      <w:r>
        <w:lastRenderedPageBreak/>
        <w:t>Operator training</w:t>
      </w:r>
    </w:p>
    <w:p w14:paraId="0EC5EB91" w14:textId="77777777" w:rsidR="00D37098" w:rsidRDefault="00000000">
      <w:pPr>
        <w:pStyle w:val="MdListItem"/>
        <w:numPr>
          <w:ilvl w:val="0"/>
          <w:numId w:val="2"/>
        </w:numPr>
      </w:pPr>
      <w:r>
        <w:t>Performance validation</w:t>
      </w:r>
    </w:p>
    <w:p w14:paraId="59EAC86E" w14:textId="77777777" w:rsidR="00D37098" w:rsidRDefault="00D37098">
      <w:pPr>
        <w:pStyle w:val="MdSpace"/>
        <w:spacing w:after="60"/>
      </w:pPr>
    </w:p>
    <w:p w14:paraId="1F180AFD" w14:textId="77777777" w:rsidR="00D37098" w:rsidRDefault="00000000">
      <w:pPr>
        <w:pStyle w:val="MdParagraph"/>
      </w:pPr>
      <w:r>
        <w:rPr>
          <w:rStyle w:val="MdStrong"/>
        </w:rPr>
        <w:t>Phase 5: Operations &amp; Support (Ongoing)</w:t>
      </w:r>
    </w:p>
    <w:p w14:paraId="786A5C61" w14:textId="77777777" w:rsidR="00D37098" w:rsidRDefault="00000000">
      <w:pPr>
        <w:pStyle w:val="MdListItem"/>
        <w:numPr>
          <w:ilvl w:val="0"/>
          <w:numId w:val="2"/>
        </w:numPr>
      </w:pPr>
      <w:r>
        <w:t>Commercial operations begin</w:t>
      </w:r>
    </w:p>
    <w:p w14:paraId="2366F897" w14:textId="77777777" w:rsidR="00D37098" w:rsidRDefault="00000000">
      <w:pPr>
        <w:pStyle w:val="MdListItem"/>
        <w:numPr>
          <w:ilvl w:val="0"/>
          <w:numId w:val="2"/>
        </w:numPr>
      </w:pPr>
      <w:r>
        <w:t>Performance monitoring and optimization</w:t>
      </w:r>
    </w:p>
    <w:p w14:paraId="405B7C5E" w14:textId="77777777" w:rsidR="00D37098" w:rsidRDefault="00000000">
      <w:pPr>
        <w:pStyle w:val="MdListItem"/>
        <w:numPr>
          <w:ilvl w:val="0"/>
          <w:numId w:val="2"/>
        </w:numPr>
      </w:pPr>
      <w:r>
        <w:t>Catalyst supply and replacement</w:t>
      </w:r>
    </w:p>
    <w:p w14:paraId="10BEEEE1" w14:textId="77777777" w:rsidR="00D37098" w:rsidRDefault="00000000">
      <w:pPr>
        <w:pStyle w:val="MdListItem"/>
        <w:numPr>
          <w:ilvl w:val="0"/>
          <w:numId w:val="2"/>
        </w:numPr>
      </w:pPr>
      <w:r>
        <w:t>Maintenance and technical support</w:t>
      </w:r>
    </w:p>
    <w:p w14:paraId="07DEE138" w14:textId="77777777" w:rsidR="00D37098" w:rsidRDefault="00000000">
      <w:pPr>
        <w:pStyle w:val="MdListItem"/>
        <w:numPr>
          <w:ilvl w:val="0"/>
          <w:numId w:val="2"/>
        </w:numPr>
      </w:pPr>
      <w:r>
        <w:t>Continuous improvement</w:t>
      </w:r>
    </w:p>
    <w:p w14:paraId="0C72CCA8" w14:textId="77777777" w:rsidR="00D37098" w:rsidRDefault="00D37098">
      <w:pPr>
        <w:pStyle w:val="MdSpace"/>
        <w:spacing w:after="60"/>
      </w:pPr>
    </w:p>
    <w:p w14:paraId="2B21FC0F" w14:textId="77777777" w:rsidR="00D37098" w:rsidRDefault="00000000">
      <w:pPr>
        <w:pStyle w:val="MdParagraph"/>
      </w:pPr>
      <w:r>
        <w:rPr>
          <w:rStyle w:val="MdStrong"/>
        </w:rPr>
        <w:t>Total Timeline:</w:t>
      </w:r>
      <w:r>
        <w:t xml:space="preserve"> 8-11 months to commercial operation, 15-18 months including ramp-up to full performance.</w:t>
      </w:r>
    </w:p>
    <w:p w14:paraId="51CF99AC" w14:textId="77777777" w:rsidR="00D37098" w:rsidRDefault="00D37098">
      <w:pPr>
        <w:pStyle w:val="MdSpace"/>
        <w:spacing w:after="60"/>
      </w:pPr>
    </w:p>
    <w:p w14:paraId="24474D9A" w14:textId="77777777" w:rsidR="00D37098" w:rsidRDefault="00000000">
      <w:pPr>
        <w:pStyle w:val="MdHeading3"/>
      </w:pPr>
      <w:r>
        <w:t>9.2 Critical Success Factors</w:t>
      </w:r>
    </w:p>
    <w:p w14:paraId="5E78D8EC" w14:textId="77777777" w:rsidR="00D37098" w:rsidRDefault="00000000">
      <w:pPr>
        <w:pStyle w:val="MdParagraph"/>
      </w:pPr>
      <w:r>
        <w:rPr>
          <w:rStyle w:val="MdStrong"/>
        </w:rPr>
        <w:t>Feedstock Quality:</w:t>
      </w:r>
      <w:r>
        <w:t xml:space="preserve"> Consistent feedstock composition and preparation is critical for stable gasifier operation. Feedstock variability is the #1 cause of operational issues.</w:t>
      </w:r>
    </w:p>
    <w:p w14:paraId="5D26B69D" w14:textId="77777777" w:rsidR="00D37098" w:rsidRDefault="00D37098">
      <w:pPr>
        <w:pStyle w:val="MdSpace"/>
        <w:spacing w:after="60"/>
      </w:pPr>
    </w:p>
    <w:p w14:paraId="31389FEB" w14:textId="77777777" w:rsidR="00D37098" w:rsidRDefault="00000000">
      <w:pPr>
        <w:pStyle w:val="MdParagraph"/>
      </w:pPr>
      <w:r>
        <w:rPr>
          <w:rStyle w:val="MdStrong"/>
        </w:rPr>
        <w:t>Site Preparation:</w:t>
      </w:r>
      <w:r>
        <w:t xml:space="preserve"> Adequate space, utilities (water, electricity), and waste handling infrastructure must be in place before equipment arrival.</w:t>
      </w:r>
    </w:p>
    <w:p w14:paraId="645BD003" w14:textId="77777777" w:rsidR="00D37098" w:rsidRDefault="00D37098">
      <w:pPr>
        <w:pStyle w:val="MdSpace"/>
        <w:spacing w:after="60"/>
      </w:pPr>
    </w:p>
    <w:p w14:paraId="3147F488" w14:textId="77777777" w:rsidR="00D37098" w:rsidRDefault="00000000">
      <w:pPr>
        <w:pStyle w:val="MdParagraph"/>
      </w:pPr>
      <w:r>
        <w:rPr>
          <w:rStyle w:val="MdStrong"/>
        </w:rPr>
        <w:t>Regulatory Approvals:</w:t>
      </w:r>
      <w:r>
        <w:t xml:space="preserve"> Permitting timelines vary widely by jurisdiction. Early engagement with regulators is essential to avoid delays.</w:t>
      </w:r>
    </w:p>
    <w:p w14:paraId="307CDF65" w14:textId="77777777" w:rsidR="00D37098" w:rsidRDefault="00D37098">
      <w:pPr>
        <w:pStyle w:val="MdSpace"/>
        <w:spacing w:after="60"/>
      </w:pPr>
    </w:p>
    <w:p w14:paraId="4193054D" w14:textId="77777777" w:rsidR="00D37098" w:rsidRDefault="00000000">
      <w:pPr>
        <w:pStyle w:val="MdParagraph"/>
      </w:pPr>
      <w:r>
        <w:rPr>
          <w:rStyle w:val="MdStrong"/>
        </w:rPr>
        <w:t>Operator Training:</w:t>
      </w:r>
      <w:r>
        <w:t xml:space="preserve"> Skilled operators are critical for safe, efficient operation. Comprehensive training and ongoing support are essential.</w:t>
      </w:r>
    </w:p>
    <w:p w14:paraId="403F2C1F" w14:textId="77777777" w:rsidR="00D37098" w:rsidRDefault="00D37098">
      <w:pPr>
        <w:pStyle w:val="MdSpace"/>
        <w:spacing w:after="60"/>
      </w:pPr>
    </w:p>
    <w:p w14:paraId="528C703C" w14:textId="77777777" w:rsidR="00D37098" w:rsidRDefault="00000000">
      <w:pPr>
        <w:pStyle w:val="MdParagraph"/>
      </w:pPr>
      <w:r>
        <w:rPr>
          <w:rStyle w:val="MdStrong"/>
        </w:rPr>
        <w:t>Performance Monitoring:</w:t>
      </w:r>
      <w:r>
        <w:t xml:space="preserve"> Continuous data collection and analysis enable early detection of issues and optimization opportunities.</w:t>
      </w:r>
    </w:p>
    <w:p w14:paraId="70BA98DE" w14:textId="77777777" w:rsidR="00D37098" w:rsidRDefault="00D37098">
      <w:pPr>
        <w:pStyle w:val="MdSpace"/>
        <w:spacing w:after="60"/>
      </w:pPr>
    </w:p>
    <w:p w14:paraId="41876C24" w14:textId="77777777" w:rsidR="00D37098" w:rsidRDefault="00000000">
      <w:pPr>
        <w:pStyle w:val="MdHeading3"/>
      </w:pPr>
      <w:r>
        <w:t>9.3 Risk Mitigation</w:t>
      </w:r>
    </w:p>
    <w:p w14:paraId="034C85B6" w14:textId="77777777" w:rsidR="00D37098" w:rsidRDefault="00000000">
      <w:pPr>
        <w:pStyle w:val="MdParagraph"/>
      </w:pPr>
      <w:r>
        <w:rPr>
          <w:rStyle w:val="MdStrong"/>
        </w:rPr>
        <w:t>Technology Risk:</w:t>
      </w:r>
      <w:r>
        <w:t xml:space="preserve"> Mitigated by Paris facility validation (1,300 hours) and MFC's proven X-150 platform. </w:t>
      </w:r>
      <w:proofErr w:type="spellStart"/>
      <w:r>
        <w:t>SyngaPure</w:t>
      </w:r>
      <w:proofErr w:type="spellEnd"/>
      <w:r>
        <w:t>™ catalyst performance is validated in lab and pilot testing.</w:t>
      </w:r>
    </w:p>
    <w:p w14:paraId="29B2486C" w14:textId="77777777" w:rsidR="00D37098" w:rsidRDefault="00D37098">
      <w:pPr>
        <w:pStyle w:val="MdSpace"/>
        <w:spacing w:after="60"/>
      </w:pPr>
    </w:p>
    <w:p w14:paraId="37911EA5" w14:textId="77777777" w:rsidR="00D37098" w:rsidRDefault="00000000">
      <w:pPr>
        <w:pStyle w:val="MdParagraph"/>
      </w:pPr>
      <w:r>
        <w:rPr>
          <w:rStyle w:val="MdStrong"/>
        </w:rPr>
        <w:t>Feedstock Risk:</w:t>
      </w:r>
      <w:r>
        <w:t xml:space="preserve"> Mitigated by feedstock characterization during feasibility phase and contractual feedstock supply agreements.</w:t>
      </w:r>
    </w:p>
    <w:p w14:paraId="55516E64" w14:textId="77777777" w:rsidR="00D37098" w:rsidRDefault="00D37098">
      <w:pPr>
        <w:pStyle w:val="MdSpace"/>
        <w:spacing w:after="60"/>
      </w:pPr>
    </w:p>
    <w:p w14:paraId="3004D2FD" w14:textId="77777777" w:rsidR="00D37098" w:rsidRDefault="00000000">
      <w:pPr>
        <w:pStyle w:val="MdParagraph"/>
      </w:pPr>
      <w:r>
        <w:rPr>
          <w:rStyle w:val="MdStrong"/>
        </w:rPr>
        <w:t>Regulatory Risk:</w:t>
      </w:r>
      <w:r>
        <w:t xml:space="preserve"> Mitigated by early engagement with regulators and use of proven emissions control technologies.</w:t>
      </w:r>
    </w:p>
    <w:p w14:paraId="441EF386" w14:textId="77777777" w:rsidR="00D37098" w:rsidRDefault="00D37098">
      <w:pPr>
        <w:pStyle w:val="MdSpace"/>
        <w:spacing w:after="60"/>
      </w:pPr>
    </w:p>
    <w:p w14:paraId="72713DAF" w14:textId="77777777" w:rsidR="00D37098" w:rsidRDefault="00000000">
      <w:pPr>
        <w:pStyle w:val="MdParagraph"/>
      </w:pPr>
      <w:r>
        <w:rPr>
          <w:rStyle w:val="MdStrong"/>
        </w:rPr>
        <w:t>Financial Risk:</w:t>
      </w:r>
      <w:r>
        <w:t xml:space="preserve"> Mitigated by conservative financial </w:t>
      </w:r>
      <w:proofErr w:type="spellStart"/>
      <w:r>
        <w:t>modeling</w:t>
      </w:r>
      <w:proofErr w:type="spellEnd"/>
      <w:r>
        <w:t>, multiple revenue streams, and project finance structures that match risk to return.</w:t>
      </w:r>
    </w:p>
    <w:p w14:paraId="7D5852E3" w14:textId="77777777" w:rsidR="00D37098" w:rsidRDefault="00D37098">
      <w:pPr>
        <w:pStyle w:val="MdSpace"/>
        <w:spacing w:after="60"/>
      </w:pPr>
    </w:p>
    <w:p w14:paraId="4070D975" w14:textId="77777777" w:rsidR="00D37098" w:rsidRDefault="00000000">
      <w:pPr>
        <w:pStyle w:val="MdParagraph"/>
      </w:pPr>
      <w:r>
        <w:rPr>
          <w:rStyle w:val="MdStrong"/>
        </w:rPr>
        <w:lastRenderedPageBreak/>
        <w:t>Operational Risk:</w:t>
      </w:r>
      <w:r>
        <w:t xml:space="preserve"> Mitigated by comprehensive operator training, remote monitoring, and ongoing technical support from Zero-X and MFC.</w:t>
      </w:r>
    </w:p>
    <w:p w14:paraId="4453353F" w14:textId="77777777" w:rsidR="00D37098" w:rsidRDefault="00D37098">
      <w:pPr>
        <w:pStyle w:val="MdSpace"/>
        <w:spacing w:after="60"/>
      </w:pPr>
    </w:p>
    <w:p w14:paraId="472E8043" w14:textId="77777777" w:rsidR="00D37098" w:rsidRDefault="00D37098">
      <w:pPr>
        <w:pStyle w:val="MdHr"/>
        <w:pBdr>
          <w:bottom w:val="single" w:sz="6" w:space="1" w:color="auto"/>
        </w:pBdr>
      </w:pPr>
    </w:p>
    <w:p w14:paraId="5DFB6407" w14:textId="77777777" w:rsidR="00D37098" w:rsidRDefault="00D37098">
      <w:pPr>
        <w:pStyle w:val="MdSpace"/>
        <w:spacing w:after="60"/>
      </w:pPr>
    </w:p>
    <w:p w14:paraId="10394AA5" w14:textId="77777777" w:rsidR="00D37098" w:rsidRDefault="00000000">
      <w:pPr>
        <w:pStyle w:val="MdHeading2"/>
      </w:pPr>
      <w:r>
        <w:t>10. Strategic Partnerships</w:t>
      </w:r>
    </w:p>
    <w:p w14:paraId="00F15737" w14:textId="77777777" w:rsidR="00D37098" w:rsidRDefault="00000000">
      <w:pPr>
        <w:pStyle w:val="MdHeading3"/>
      </w:pPr>
      <w:r>
        <w:t>10.1 MFC Multi Fuel Conversion GmbH</w:t>
      </w:r>
    </w:p>
    <w:p w14:paraId="45AB8018" w14:textId="77777777" w:rsidR="00D37098" w:rsidRDefault="00000000">
      <w:pPr>
        <w:pStyle w:val="MdParagraph"/>
      </w:pPr>
      <w:r>
        <w:rPr>
          <w:rStyle w:val="MdStrong"/>
        </w:rPr>
        <w:t>Role:</w:t>
      </w:r>
      <w:r>
        <w:t xml:space="preserve"> Strategic manufacturing partner for X-150 gasifier platform.</w:t>
      </w:r>
    </w:p>
    <w:p w14:paraId="5F5DEB84" w14:textId="77777777" w:rsidR="00D37098" w:rsidRDefault="00D37098">
      <w:pPr>
        <w:pStyle w:val="MdSpace"/>
        <w:spacing w:after="60"/>
      </w:pPr>
    </w:p>
    <w:p w14:paraId="3121013E" w14:textId="77777777" w:rsidR="00D37098" w:rsidRDefault="00000000">
      <w:pPr>
        <w:pStyle w:val="MdParagraph"/>
      </w:pPr>
      <w:r>
        <w:rPr>
          <w:rStyle w:val="MdStrong"/>
        </w:rPr>
        <w:t>Relationship:</w:t>
      </w:r>
      <w:r>
        <w:t xml:space="preserve"> Zero-X provides research, catalyst technology, and system optimization; MFC manufactures and delivers complete X-150 systems.</w:t>
      </w:r>
    </w:p>
    <w:p w14:paraId="5A397CA4" w14:textId="77777777" w:rsidR="00D37098" w:rsidRDefault="00D37098">
      <w:pPr>
        <w:pStyle w:val="MdSpace"/>
        <w:spacing w:after="60"/>
      </w:pPr>
    </w:p>
    <w:p w14:paraId="6A6F869A" w14:textId="77777777" w:rsidR="00D37098" w:rsidRDefault="00000000">
      <w:pPr>
        <w:pStyle w:val="MdParagraph"/>
      </w:pPr>
      <w:r>
        <w:rPr>
          <w:rStyle w:val="MdStrong"/>
        </w:rPr>
        <w:t>MFC Capabilities:</w:t>
      </w:r>
    </w:p>
    <w:p w14:paraId="538BB8C8" w14:textId="77777777" w:rsidR="00D37098" w:rsidRDefault="00000000">
      <w:pPr>
        <w:pStyle w:val="MdListItem"/>
        <w:numPr>
          <w:ilvl w:val="0"/>
          <w:numId w:val="2"/>
        </w:numPr>
      </w:pPr>
      <w:r>
        <w:rPr>
          <w:rStyle w:val="MdStrong"/>
        </w:rPr>
        <w:t>Manufacturing:</w:t>
      </w:r>
      <w:r>
        <w:t xml:space="preserve"> Factory-built gasifiers in Leipzig, Germany</w:t>
      </w:r>
    </w:p>
    <w:p w14:paraId="323CADA5" w14:textId="77777777" w:rsidR="00D37098" w:rsidRDefault="00000000">
      <w:pPr>
        <w:pStyle w:val="MdListItem"/>
        <w:numPr>
          <w:ilvl w:val="0"/>
          <w:numId w:val="2"/>
        </w:numPr>
      </w:pPr>
      <w:r>
        <w:rPr>
          <w:rStyle w:val="MdStrong"/>
        </w:rPr>
        <w:t>Engineering:</w:t>
      </w:r>
      <w:r>
        <w:t xml:space="preserve"> Decades of gasification expertise</w:t>
      </w:r>
    </w:p>
    <w:p w14:paraId="5CDE5660" w14:textId="77777777" w:rsidR="00D37098" w:rsidRDefault="00000000">
      <w:pPr>
        <w:pStyle w:val="MdListItem"/>
        <w:numPr>
          <w:ilvl w:val="0"/>
          <w:numId w:val="2"/>
        </w:numPr>
      </w:pPr>
      <w:r>
        <w:rPr>
          <w:rStyle w:val="MdStrong"/>
        </w:rPr>
        <w:t>Global Delivery:</w:t>
      </w:r>
      <w:r>
        <w:t xml:space="preserve"> Established supply chain and logistics</w:t>
      </w:r>
    </w:p>
    <w:p w14:paraId="58A48CFF" w14:textId="77777777" w:rsidR="00D37098" w:rsidRDefault="00000000">
      <w:pPr>
        <w:pStyle w:val="MdListItem"/>
        <w:numPr>
          <w:ilvl w:val="0"/>
          <w:numId w:val="2"/>
        </w:numPr>
      </w:pPr>
      <w:r>
        <w:rPr>
          <w:rStyle w:val="MdStrong"/>
        </w:rPr>
        <w:t>Project Portfolio:</w:t>
      </w:r>
      <w:r>
        <w:t xml:space="preserve"> Paris COMETHA (1,300 hours), Germany research facility (Zittau), Indonesia deployments</w:t>
      </w:r>
    </w:p>
    <w:p w14:paraId="3BC1F099" w14:textId="77777777" w:rsidR="00D37098" w:rsidRDefault="00D37098">
      <w:pPr>
        <w:pStyle w:val="MdSpace"/>
        <w:spacing w:after="60"/>
      </w:pPr>
    </w:p>
    <w:p w14:paraId="1A37EEE2" w14:textId="77777777" w:rsidR="00D37098" w:rsidRDefault="00000000">
      <w:pPr>
        <w:pStyle w:val="MdParagraph"/>
      </w:pPr>
      <w:r>
        <w:rPr>
          <w:rStyle w:val="MdStrong"/>
        </w:rPr>
        <w:t>Value to Zero-X:</w:t>
      </w:r>
    </w:p>
    <w:p w14:paraId="6ED40AA6" w14:textId="77777777" w:rsidR="00D37098" w:rsidRDefault="00000000">
      <w:pPr>
        <w:pStyle w:val="MdListItem"/>
        <w:numPr>
          <w:ilvl w:val="0"/>
          <w:numId w:val="2"/>
        </w:numPr>
      </w:pPr>
      <w:r>
        <w:t>Access to proven gasification platform</w:t>
      </w:r>
    </w:p>
    <w:p w14:paraId="57A96522" w14:textId="77777777" w:rsidR="00D37098" w:rsidRDefault="00000000">
      <w:pPr>
        <w:pStyle w:val="MdListItem"/>
        <w:numPr>
          <w:ilvl w:val="0"/>
          <w:numId w:val="2"/>
        </w:numPr>
      </w:pPr>
      <w:r>
        <w:t>Manufacturing scale and quality</w:t>
      </w:r>
    </w:p>
    <w:p w14:paraId="1899B9AC" w14:textId="77777777" w:rsidR="00D37098" w:rsidRDefault="00000000">
      <w:pPr>
        <w:pStyle w:val="MdListItem"/>
        <w:numPr>
          <w:ilvl w:val="0"/>
          <w:numId w:val="2"/>
        </w:numPr>
      </w:pPr>
      <w:r>
        <w:t>German engineering credibility</w:t>
      </w:r>
    </w:p>
    <w:p w14:paraId="5C74B9AC" w14:textId="77777777" w:rsidR="00D37098" w:rsidRDefault="00000000">
      <w:pPr>
        <w:pStyle w:val="MdListItem"/>
        <w:numPr>
          <w:ilvl w:val="0"/>
          <w:numId w:val="2"/>
        </w:numPr>
      </w:pPr>
      <w:r>
        <w:t>Government funding and validation (</w:t>
      </w:r>
      <w:proofErr w:type="spellStart"/>
      <w:r>
        <w:t>PtJ</w:t>
      </w:r>
      <w:proofErr w:type="spellEnd"/>
      <w:r>
        <w:t>, SAB)</w:t>
      </w:r>
    </w:p>
    <w:p w14:paraId="0503F28D" w14:textId="77777777" w:rsidR="00D37098" w:rsidRDefault="00D37098">
      <w:pPr>
        <w:pStyle w:val="MdSpace"/>
        <w:spacing w:after="60"/>
      </w:pPr>
    </w:p>
    <w:p w14:paraId="037CB064" w14:textId="77777777" w:rsidR="00D37098" w:rsidRDefault="00000000">
      <w:pPr>
        <w:pStyle w:val="MdParagraph"/>
      </w:pPr>
      <w:r>
        <w:rPr>
          <w:rStyle w:val="MdStrong"/>
        </w:rPr>
        <w:t>Value to MFC:</w:t>
      </w:r>
    </w:p>
    <w:p w14:paraId="6187A366" w14:textId="77777777" w:rsidR="00D37098" w:rsidRDefault="00000000">
      <w:pPr>
        <w:pStyle w:val="MdListItem"/>
        <w:numPr>
          <w:ilvl w:val="0"/>
          <w:numId w:val="2"/>
        </w:numPr>
      </w:pPr>
      <w:proofErr w:type="spellStart"/>
      <w:r>
        <w:t>SyngaPure</w:t>
      </w:r>
      <w:proofErr w:type="spellEnd"/>
      <w:r>
        <w:t>™ catalyst enables high-value applications (SOFC, SAF, H₂)</w:t>
      </w:r>
    </w:p>
    <w:p w14:paraId="2B946D4D" w14:textId="77777777" w:rsidR="00D37098" w:rsidRDefault="00000000">
      <w:pPr>
        <w:pStyle w:val="MdListItem"/>
        <w:numPr>
          <w:ilvl w:val="0"/>
          <w:numId w:val="2"/>
        </w:numPr>
      </w:pPr>
      <w:r>
        <w:t>Research support for gasifier optimization</w:t>
      </w:r>
    </w:p>
    <w:p w14:paraId="7831F65D" w14:textId="77777777" w:rsidR="00D37098" w:rsidRDefault="00000000">
      <w:pPr>
        <w:pStyle w:val="MdListItem"/>
        <w:numPr>
          <w:ilvl w:val="0"/>
          <w:numId w:val="2"/>
        </w:numPr>
      </w:pPr>
      <w:r>
        <w:t>Access to Zero-X's client relationships and market knowledge</w:t>
      </w:r>
    </w:p>
    <w:p w14:paraId="2FC5545C" w14:textId="77777777" w:rsidR="00D37098" w:rsidRDefault="00D37098">
      <w:pPr>
        <w:pStyle w:val="MdSpace"/>
        <w:spacing w:after="60"/>
      </w:pPr>
    </w:p>
    <w:p w14:paraId="40420997" w14:textId="77777777" w:rsidR="00D37098" w:rsidRDefault="00000000">
      <w:pPr>
        <w:pStyle w:val="MdHeading3"/>
      </w:pPr>
      <w:r>
        <w:t>10.2 Research and Government Partners</w:t>
      </w:r>
    </w:p>
    <w:p w14:paraId="4076BA3A" w14:textId="77777777" w:rsidR="00D37098" w:rsidRDefault="00000000">
      <w:pPr>
        <w:pStyle w:val="MdParagraph"/>
      </w:pPr>
      <w:r>
        <w:rPr>
          <w:rStyle w:val="MdStrong"/>
        </w:rPr>
        <w:t>Fraunhofer Institute:</w:t>
      </w:r>
      <w:r>
        <w:t xml:space="preserve"> Collaboration on gasification research and validation testing provides third-party credibility.</w:t>
      </w:r>
    </w:p>
    <w:p w14:paraId="25D30AC7" w14:textId="77777777" w:rsidR="00D37098" w:rsidRDefault="00D37098">
      <w:pPr>
        <w:pStyle w:val="MdSpace"/>
        <w:spacing w:after="60"/>
      </w:pPr>
    </w:p>
    <w:p w14:paraId="2C51479D" w14:textId="77777777" w:rsidR="00D37098" w:rsidRDefault="00000000">
      <w:pPr>
        <w:pStyle w:val="MdParagraph"/>
      </w:pPr>
      <w:proofErr w:type="spellStart"/>
      <w:r>
        <w:rPr>
          <w:rStyle w:val="MdStrong"/>
        </w:rPr>
        <w:t>PtJ</w:t>
      </w:r>
      <w:proofErr w:type="spellEnd"/>
      <w:r>
        <w:rPr>
          <w:rStyle w:val="MdStrong"/>
        </w:rPr>
        <w:t xml:space="preserve"> (Project Management Jülich):</w:t>
      </w:r>
      <w:r>
        <w:t xml:space="preserve"> German government funding agency supporting MFC's X-150 development demonstrates technology validation.</w:t>
      </w:r>
    </w:p>
    <w:p w14:paraId="45352B46" w14:textId="77777777" w:rsidR="00D37098" w:rsidRDefault="00D37098">
      <w:pPr>
        <w:pStyle w:val="MdSpace"/>
        <w:spacing w:after="60"/>
      </w:pPr>
    </w:p>
    <w:p w14:paraId="23CA0315" w14:textId="77777777" w:rsidR="00D37098" w:rsidRDefault="00000000">
      <w:pPr>
        <w:pStyle w:val="MdParagraph"/>
      </w:pPr>
      <w:r>
        <w:rPr>
          <w:rStyle w:val="MdStrong"/>
        </w:rPr>
        <w:t>SAB (</w:t>
      </w:r>
      <w:proofErr w:type="spellStart"/>
      <w:r>
        <w:rPr>
          <w:rStyle w:val="MdStrong"/>
        </w:rPr>
        <w:t>Sächsische</w:t>
      </w:r>
      <w:proofErr w:type="spellEnd"/>
      <w:r>
        <w:rPr>
          <w:rStyle w:val="MdStrong"/>
        </w:rPr>
        <w:t xml:space="preserve"> </w:t>
      </w:r>
      <w:proofErr w:type="spellStart"/>
      <w:r>
        <w:rPr>
          <w:rStyle w:val="MdStrong"/>
        </w:rPr>
        <w:t>Aufbaubank</w:t>
      </w:r>
      <w:proofErr w:type="spellEnd"/>
      <w:r>
        <w:rPr>
          <w:rStyle w:val="MdStrong"/>
        </w:rPr>
        <w:t>):</w:t>
      </w:r>
      <w:r>
        <w:t xml:space="preserve"> German development bank providing project financing for MFC deployments.</w:t>
      </w:r>
    </w:p>
    <w:p w14:paraId="17E510A0" w14:textId="77777777" w:rsidR="00D37098" w:rsidRDefault="00D37098">
      <w:pPr>
        <w:pStyle w:val="MdSpace"/>
        <w:spacing w:after="60"/>
      </w:pPr>
    </w:p>
    <w:p w14:paraId="49BB955A" w14:textId="77777777" w:rsidR="00D37098" w:rsidRDefault="00000000">
      <w:pPr>
        <w:pStyle w:val="MdParagraph"/>
      </w:pPr>
      <w:r>
        <w:rPr>
          <w:rStyle w:val="MdStrong"/>
        </w:rPr>
        <w:t>PLANET43 Accelerator:</w:t>
      </w:r>
      <w:r>
        <w:t xml:space="preserve"> Zero-X's participation in this cleantech accelerator provides access to mentorship, funding, and strategic partnerships.</w:t>
      </w:r>
    </w:p>
    <w:p w14:paraId="3C5D859F" w14:textId="77777777" w:rsidR="00D37098" w:rsidRDefault="00D37098">
      <w:pPr>
        <w:pStyle w:val="MdSpace"/>
        <w:spacing w:after="60"/>
      </w:pPr>
    </w:p>
    <w:p w14:paraId="6ADBFC20" w14:textId="77777777" w:rsidR="00D37098" w:rsidRDefault="00000000">
      <w:pPr>
        <w:pStyle w:val="MdHeading3"/>
      </w:pPr>
      <w:r>
        <w:t>10.3 Future Partnership Opportunities</w:t>
      </w:r>
    </w:p>
    <w:p w14:paraId="14644FE3" w14:textId="77777777" w:rsidR="00D37098" w:rsidRDefault="00000000">
      <w:pPr>
        <w:pStyle w:val="MdParagraph"/>
      </w:pPr>
      <w:r>
        <w:rPr>
          <w:rStyle w:val="MdStrong"/>
        </w:rPr>
        <w:t>Waste Management Companies:</w:t>
      </w:r>
      <w:r>
        <w:t xml:space="preserve"> Partnerships with large waste haulers and processors could provide feedstock supply and deployment sites.</w:t>
      </w:r>
    </w:p>
    <w:p w14:paraId="67597F78" w14:textId="77777777" w:rsidR="00D37098" w:rsidRDefault="00D37098">
      <w:pPr>
        <w:pStyle w:val="MdSpace"/>
        <w:spacing w:after="60"/>
      </w:pPr>
    </w:p>
    <w:p w14:paraId="6F7C0DC9" w14:textId="77777777" w:rsidR="00D37098" w:rsidRDefault="00000000">
      <w:pPr>
        <w:pStyle w:val="MdParagraph"/>
      </w:pPr>
      <w:r>
        <w:rPr>
          <w:rStyle w:val="MdStrong"/>
        </w:rPr>
        <w:t>Energy Utilities:</w:t>
      </w:r>
      <w:r>
        <w:t xml:space="preserve"> Partnerships with electric and gas utilities could facilitate grid interconnection, RNG injection, and distributed energy deployment.</w:t>
      </w:r>
    </w:p>
    <w:p w14:paraId="0529C724" w14:textId="77777777" w:rsidR="00D37098" w:rsidRDefault="00D37098">
      <w:pPr>
        <w:pStyle w:val="MdSpace"/>
        <w:spacing w:after="60"/>
      </w:pPr>
    </w:p>
    <w:p w14:paraId="2EC971F1" w14:textId="77777777" w:rsidR="00D37098" w:rsidRDefault="00000000">
      <w:pPr>
        <w:pStyle w:val="MdParagraph"/>
      </w:pPr>
      <w:r>
        <w:rPr>
          <w:rStyle w:val="MdStrong"/>
        </w:rPr>
        <w:t>Aviation Industry:</w:t>
      </w:r>
      <w:r>
        <w:t xml:space="preserve"> Partnerships with airlines and airports could accelerate SAF production and deployment.</w:t>
      </w:r>
    </w:p>
    <w:p w14:paraId="0124F76E" w14:textId="77777777" w:rsidR="00D37098" w:rsidRDefault="00D37098">
      <w:pPr>
        <w:pStyle w:val="MdSpace"/>
        <w:spacing w:after="60"/>
      </w:pPr>
    </w:p>
    <w:p w14:paraId="0234F861" w14:textId="77777777" w:rsidR="00D37098" w:rsidRDefault="00000000">
      <w:pPr>
        <w:pStyle w:val="MdParagraph"/>
      </w:pPr>
      <w:r>
        <w:rPr>
          <w:rStyle w:val="MdStrong"/>
        </w:rPr>
        <w:t>Agricultural Cooperatives:</w:t>
      </w:r>
      <w:r>
        <w:t xml:space="preserve"> Partnerships with farming organizations could enable distributed deployment for agricultural waste processing.</w:t>
      </w:r>
    </w:p>
    <w:p w14:paraId="4529444E" w14:textId="77777777" w:rsidR="00D37098" w:rsidRDefault="00D37098">
      <w:pPr>
        <w:pStyle w:val="MdSpace"/>
        <w:spacing w:after="60"/>
      </w:pPr>
    </w:p>
    <w:p w14:paraId="5B2E49F9" w14:textId="77777777" w:rsidR="00D37098" w:rsidRDefault="00D37098">
      <w:pPr>
        <w:pStyle w:val="MdHr"/>
        <w:pBdr>
          <w:bottom w:val="single" w:sz="6" w:space="1" w:color="auto"/>
        </w:pBdr>
      </w:pPr>
    </w:p>
    <w:p w14:paraId="19D8BAB0" w14:textId="77777777" w:rsidR="00D37098" w:rsidRDefault="00D37098">
      <w:pPr>
        <w:pStyle w:val="MdSpace"/>
        <w:spacing w:after="60"/>
      </w:pPr>
    </w:p>
    <w:p w14:paraId="2A7EB4A0" w14:textId="77777777" w:rsidR="00D37098" w:rsidRDefault="00000000">
      <w:pPr>
        <w:pStyle w:val="MdHeading2"/>
      </w:pPr>
      <w:r>
        <w:t>11. Regulatory &amp; Environmental Compliance</w:t>
      </w:r>
    </w:p>
    <w:p w14:paraId="59E42AED" w14:textId="77777777" w:rsidR="00D37098" w:rsidRDefault="00000000">
      <w:pPr>
        <w:pStyle w:val="MdHeading3"/>
      </w:pPr>
      <w:r>
        <w:t>11.1 Current Regulatory Status</w:t>
      </w:r>
    </w:p>
    <w:p w14:paraId="214FA6E8" w14:textId="77777777" w:rsidR="00D37098" w:rsidRDefault="00000000">
      <w:pPr>
        <w:pStyle w:val="MdParagraph"/>
      </w:pPr>
      <w:r>
        <w:rPr>
          <w:rStyle w:val="MdStrong"/>
        </w:rPr>
        <w:t>Emissions Testing:</w:t>
      </w:r>
      <w:r>
        <w:t xml:space="preserve"> Comprehensive emissions characterization is currently limited. This is a </w:t>
      </w:r>
      <w:r>
        <w:rPr>
          <w:rStyle w:val="MdStrong"/>
        </w:rPr>
        <w:t>critical gap</w:t>
      </w:r>
      <w:r>
        <w:t xml:space="preserve"> that must be addressed for regulatory approval in most jurisdictions.</w:t>
      </w:r>
    </w:p>
    <w:p w14:paraId="07C2DFD6" w14:textId="77777777" w:rsidR="00D37098" w:rsidRDefault="00D37098">
      <w:pPr>
        <w:pStyle w:val="MdSpace"/>
        <w:spacing w:after="60"/>
      </w:pPr>
    </w:p>
    <w:p w14:paraId="5A11C824" w14:textId="77777777" w:rsidR="00D37098" w:rsidRDefault="00000000">
      <w:pPr>
        <w:pStyle w:val="MdParagraph"/>
      </w:pPr>
      <w:r>
        <w:rPr>
          <w:rStyle w:val="MdStrong"/>
        </w:rPr>
        <w:t>Required Testing:</w:t>
      </w:r>
    </w:p>
    <w:p w14:paraId="7737FE24" w14:textId="77777777" w:rsidR="00D37098" w:rsidRDefault="00000000">
      <w:pPr>
        <w:pStyle w:val="MdListItem"/>
        <w:numPr>
          <w:ilvl w:val="0"/>
          <w:numId w:val="2"/>
        </w:numPr>
      </w:pPr>
      <w:r>
        <w:rPr>
          <w:rStyle w:val="MdStrong"/>
        </w:rPr>
        <w:t>Criteria Pollutants:</w:t>
      </w:r>
      <w:r>
        <w:t xml:space="preserve"> NOx, </w:t>
      </w:r>
      <w:proofErr w:type="spellStart"/>
      <w:r>
        <w:t>SOx</w:t>
      </w:r>
      <w:proofErr w:type="spellEnd"/>
      <w:r>
        <w:t>, CO, particulate matter (PM2.5, PM10)</w:t>
      </w:r>
    </w:p>
    <w:p w14:paraId="3A1DAEF4" w14:textId="77777777" w:rsidR="00D37098" w:rsidRDefault="00000000">
      <w:pPr>
        <w:pStyle w:val="MdListItem"/>
        <w:numPr>
          <w:ilvl w:val="0"/>
          <w:numId w:val="2"/>
        </w:numPr>
      </w:pPr>
      <w:r>
        <w:rPr>
          <w:rStyle w:val="MdStrong"/>
        </w:rPr>
        <w:t>Hazardous Air Pollutants (HAPs):</w:t>
      </w:r>
      <w:r>
        <w:t xml:space="preserve"> Heavy metals, dioxins/furans, volatile organic compounds (VOCs)</w:t>
      </w:r>
    </w:p>
    <w:p w14:paraId="1FCD947E" w14:textId="77777777" w:rsidR="00D37098" w:rsidRDefault="00000000">
      <w:pPr>
        <w:pStyle w:val="MdListItem"/>
        <w:numPr>
          <w:ilvl w:val="0"/>
          <w:numId w:val="2"/>
        </w:numPr>
      </w:pPr>
      <w:r>
        <w:rPr>
          <w:rStyle w:val="MdStrong"/>
        </w:rPr>
        <w:t>Greenhouse Gases:</w:t>
      </w:r>
      <w:r>
        <w:t xml:space="preserve"> CO₂, CH₄, N₂O (for carbon credit verification)</w:t>
      </w:r>
    </w:p>
    <w:p w14:paraId="2CC6750D" w14:textId="77777777" w:rsidR="00D37098" w:rsidRDefault="00000000">
      <w:pPr>
        <w:pStyle w:val="MdListItem"/>
        <w:numPr>
          <w:ilvl w:val="0"/>
          <w:numId w:val="2"/>
        </w:numPr>
      </w:pPr>
      <w:r>
        <w:rPr>
          <w:rStyle w:val="MdStrong"/>
        </w:rPr>
        <w:t>Feedstock-Specific Testing:</w:t>
      </w:r>
      <w:r>
        <w:t xml:space="preserve"> Emissions vary with feedstock; testing required for each major feedstock type</w:t>
      </w:r>
    </w:p>
    <w:p w14:paraId="54852DF1" w14:textId="77777777" w:rsidR="00D37098" w:rsidRDefault="00D37098">
      <w:pPr>
        <w:pStyle w:val="MdSpace"/>
        <w:spacing w:after="60"/>
      </w:pPr>
    </w:p>
    <w:p w14:paraId="14405590" w14:textId="77777777" w:rsidR="00D37098" w:rsidRDefault="00000000">
      <w:pPr>
        <w:pStyle w:val="MdParagraph"/>
      </w:pPr>
      <w:r>
        <w:rPr>
          <w:rStyle w:val="MdStrong"/>
        </w:rPr>
        <w:t>Regulatory Pathways:</w:t>
      </w:r>
    </w:p>
    <w:p w14:paraId="031F3515" w14:textId="77777777" w:rsidR="00D37098" w:rsidRDefault="00000000">
      <w:pPr>
        <w:pStyle w:val="MdListItem"/>
        <w:numPr>
          <w:ilvl w:val="0"/>
          <w:numId w:val="2"/>
        </w:numPr>
      </w:pPr>
      <w:r>
        <w:rPr>
          <w:rStyle w:val="MdStrong"/>
        </w:rPr>
        <w:t>EU:</w:t>
      </w:r>
      <w:r>
        <w:t xml:space="preserve"> Industrial Emissions Directive (IED), Waste Framework Directive</w:t>
      </w:r>
    </w:p>
    <w:p w14:paraId="5F4409D8" w14:textId="77777777" w:rsidR="00D37098" w:rsidRDefault="00000000">
      <w:pPr>
        <w:pStyle w:val="MdListItem"/>
        <w:numPr>
          <w:ilvl w:val="0"/>
          <w:numId w:val="2"/>
        </w:numPr>
      </w:pPr>
      <w:r>
        <w:rPr>
          <w:rStyle w:val="MdStrong"/>
        </w:rPr>
        <w:t>US:</w:t>
      </w:r>
      <w:r>
        <w:t xml:space="preserve"> EPA New Source Performance Standards (NSPS), state air quality permits</w:t>
      </w:r>
    </w:p>
    <w:p w14:paraId="503A8B8C" w14:textId="77777777" w:rsidR="00D37098" w:rsidRDefault="00000000">
      <w:pPr>
        <w:pStyle w:val="MdListItem"/>
        <w:numPr>
          <w:ilvl w:val="0"/>
          <w:numId w:val="2"/>
        </w:numPr>
      </w:pPr>
      <w:r>
        <w:rPr>
          <w:rStyle w:val="MdStrong"/>
        </w:rPr>
        <w:t>Other Markets:</w:t>
      </w:r>
      <w:r>
        <w:t xml:space="preserve"> Jurisdiction-specific environmental permits</w:t>
      </w:r>
    </w:p>
    <w:p w14:paraId="71084FCD" w14:textId="77777777" w:rsidR="00D37098" w:rsidRDefault="00D37098">
      <w:pPr>
        <w:pStyle w:val="MdSpace"/>
        <w:spacing w:after="60"/>
      </w:pPr>
    </w:p>
    <w:p w14:paraId="66EA526C" w14:textId="77777777" w:rsidR="00D37098" w:rsidRDefault="00000000">
      <w:pPr>
        <w:pStyle w:val="MdHeading3"/>
      </w:pPr>
      <w:r>
        <w:lastRenderedPageBreak/>
        <w:t>11.2 Carbon Credits and Environmental Attributes</w:t>
      </w:r>
    </w:p>
    <w:p w14:paraId="4668E941" w14:textId="77777777" w:rsidR="00D37098" w:rsidRDefault="00000000">
      <w:pPr>
        <w:pStyle w:val="MdParagraph"/>
      </w:pPr>
      <w:r>
        <w:t>The X-150 is well-positioned to generate carbon credits under multiple frameworks:</w:t>
      </w:r>
    </w:p>
    <w:p w14:paraId="41C92B4B" w14:textId="77777777" w:rsidR="00D37098" w:rsidRDefault="00D37098">
      <w:pPr>
        <w:pStyle w:val="MdSpace"/>
        <w:spacing w:after="60"/>
      </w:pPr>
    </w:p>
    <w:p w14:paraId="5D8EBD6D" w14:textId="77777777" w:rsidR="00D37098" w:rsidRDefault="00000000">
      <w:pPr>
        <w:pStyle w:val="MdParagraph"/>
      </w:pPr>
      <w:r>
        <w:rPr>
          <w:rStyle w:val="MdStrong"/>
        </w:rPr>
        <w:t>Avoided Landfill Emissions:</w:t>
      </w:r>
      <w:r>
        <w:t xml:space="preserve"> Diverting waste from landfills avoids methane emissions (25x more potent than CO₂). Typical credit: 0.5-1.0 tonne </w:t>
      </w:r>
      <w:proofErr w:type="spellStart"/>
      <w:r>
        <w:t>CO₂eq</w:t>
      </w:r>
      <w:proofErr w:type="spellEnd"/>
      <w:r>
        <w:t xml:space="preserve"> per tonne waste diverted.</w:t>
      </w:r>
    </w:p>
    <w:p w14:paraId="4805EEFD" w14:textId="77777777" w:rsidR="00D37098" w:rsidRDefault="00D37098">
      <w:pPr>
        <w:pStyle w:val="MdSpace"/>
        <w:spacing w:after="60"/>
      </w:pPr>
    </w:p>
    <w:p w14:paraId="26AE4B6F" w14:textId="77777777" w:rsidR="00D37098" w:rsidRDefault="00000000">
      <w:pPr>
        <w:pStyle w:val="MdParagraph"/>
      </w:pPr>
      <w:r>
        <w:rPr>
          <w:rStyle w:val="MdStrong"/>
        </w:rPr>
        <w:t>Renewable Energy Generation:</w:t>
      </w:r>
      <w:r>
        <w:t xml:space="preserve"> Displacing fossil fuel-based electricity or heat with waste-derived energy generates carbon credits. Typical credit: 0.3-0.5 tonne </w:t>
      </w:r>
      <w:proofErr w:type="spellStart"/>
      <w:r>
        <w:t>CO₂eq</w:t>
      </w:r>
      <w:proofErr w:type="spellEnd"/>
      <w:r>
        <w:t xml:space="preserve"> per MWh.</w:t>
      </w:r>
    </w:p>
    <w:p w14:paraId="0790ADE8" w14:textId="77777777" w:rsidR="00D37098" w:rsidRDefault="00D37098">
      <w:pPr>
        <w:pStyle w:val="MdSpace"/>
        <w:spacing w:after="60"/>
      </w:pPr>
    </w:p>
    <w:p w14:paraId="546C42D2" w14:textId="77777777" w:rsidR="00D37098" w:rsidRDefault="00000000">
      <w:pPr>
        <w:pStyle w:val="MdParagraph"/>
      </w:pPr>
      <w:r>
        <w:rPr>
          <w:rStyle w:val="MdStrong"/>
        </w:rPr>
        <w:t>Biochar Carbon Sequestration:</w:t>
      </w:r>
      <w:r>
        <w:t xml:space="preserve"> Biochar produced from gasification sequesters carbon for centuries when applied to soil. Typical credit: 0.2-0.4 tonne </w:t>
      </w:r>
      <w:proofErr w:type="spellStart"/>
      <w:r>
        <w:t>CO₂eq</w:t>
      </w:r>
      <w:proofErr w:type="spellEnd"/>
      <w:r>
        <w:t xml:space="preserve"> per tonne biochar.</w:t>
      </w:r>
    </w:p>
    <w:p w14:paraId="584C4C34" w14:textId="77777777" w:rsidR="00D37098" w:rsidRDefault="00D37098">
      <w:pPr>
        <w:pStyle w:val="MdSpace"/>
        <w:spacing w:after="60"/>
      </w:pPr>
    </w:p>
    <w:p w14:paraId="02143F89" w14:textId="77777777" w:rsidR="00D37098" w:rsidRDefault="00000000">
      <w:pPr>
        <w:pStyle w:val="MdParagraph"/>
      </w:pPr>
      <w:r>
        <w:rPr>
          <w:rStyle w:val="MdStrong"/>
        </w:rPr>
        <w:t>Total Carbon Credit Potential:</w:t>
      </w:r>
      <w:r>
        <w:t xml:space="preserve"> 30,000-40,000 tonnes </w:t>
      </w:r>
      <w:proofErr w:type="spellStart"/>
      <w:r>
        <w:t>CO₂eq</w:t>
      </w:r>
      <w:proofErr w:type="spellEnd"/>
      <w:r>
        <w:t xml:space="preserve"> per year for a 100 tonne/day facility, worth $0.6-4.0M annually at $20-100/tonne carbon credit prices.</w:t>
      </w:r>
    </w:p>
    <w:p w14:paraId="5DD619AC" w14:textId="77777777" w:rsidR="00D37098" w:rsidRDefault="00D37098">
      <w:pPr>
        <w:pStyle w:val="MdSpace"/>
        <w:spacing w:after="60"/>
      </w:pPr>
    </w:p>
    <w:p w14:paraId="79A3D072" w14:textId="77777777" w:rsidR="00D37098" w:rsidRDefault="00000000">
      <w:pPr>
        <w:pStyle w:val="MdParagraph"/>
      </w:pPr>
      <w:r>
        <w:rPr>
          <w:rStyle w:val="MdStrong"/>
        </w:rPr>
        <w:t>Verification Requirements:</w:t>
      </w:r>
      <w:r>
        <w:t xml:space="preserve"> Carbon credits require third-party verification under recognized standards (Gold Standard, Verra VCS, etc.). This process is time-consuming and expensive but essential for credit monetization.</w:t>
      </w:r>
    </w:p>
    <w:p w14:paraId="1C80AB04" w14:textId="77777777" w:rsidR="00D37098" w:rsidRDefault="00D37098">
      <w:pPr>
        <w:pStyle w:val="MdSpace"/>
        <w:spacing w:after="60"/>
      </w:pPr>
    </w:p>
    <w:p w14:paraId="0F2D66D6" w14:textId="77777777" w:rsidR="00D37098" w:rsidRDefault="00000000">
      <w:pPr>
        <w:pStyle w:val="MdHeading3"/>
      </w:pPr>
      <w:r>
        <w:t>11.3 Sustainability Certifications</w:t>
      </w:r>
    </w:p>
    <w:p w14:paraId="5BCEE3ED" w14:textId="77777777" w:rsidR="00D37098" w:rsidRDefault="00000000">
      <w:pPr>
        <w:pStyle w:val="MdParagraph"/>
      </w:pPr>
      <w:r>
        <w:rPr>
          <w:rStyle w:val="MdStrong"/>
        </w:rPr>
        <w:t>ISCC (International Sustainability &amp; Carbon Certification):</w:t>
      </w:r>
      <w:r>
        <w:t xml:space="preserve"> Required for SAF and RNG to qualify for renewable fuel mandates. Certification process includes lifecycle GHG analysis and sustainability criteria verification.</w:t>
      </w:r>
    </w:p>
    <w:p w14:paraId="2B0AE02D" w14:textId="77777777" w:rsidR="00D37098" w:rsidRDefault="00D37098">
      <w:pPr>
        <w:pStyle w:val="MdSpace"/>
        <w:spacing w:after="60"/>
      </w:pPr>
    </w:p>
    <w:p w14:paraId="5B46F976" w14:textId="77777777" w:rsidR="00D37098" w:rsidRDefault="00000000">
      <w:pPr>
        <w:pStyle w:val="MdParagraph"/>
      </w:pPr>
      <w:r>
        <w:rPr>
          <w:rStyle w:val="MdStrong"/>
        </w:rPr>
        <w:t>ASTM D7566:</w:t>
      </w:r>
      <w:r>
        <w:t xml:space="preserve"> Required for SAF to be approved for blending with conventional jet fuel. Certification process includes fuel quality testing and engine compatibility validation.</w:t>
      </w:r>
    </w:p>
    <w:p w14:paraId="4CDCF8E9" w14:textId="77777777" w:rsidR="00D37098" w:rsidRDefault="00D37098">
      <w:pPr>
        <w:pStyle w:val="MdSpace"/>
        <w:spacing w:after="60"/>
      </w:pPr>
    </w:p>
    <w:p w14:paraId="5445E2B4" w14:textId="77777777" w:rsidR="00D37098" w:rsidRDefault="00000000">
      <w:pPr>
        <w:pStyle w:val="MdParagraph"/>
      </w:pPr>
      <w:r>
        <w:rPr>
          <w:rStyle w:val="MdStrong"/>
        </w:rPr>
        <w:t>Renewable Fuel Standard (RFS):</w:t>
      </w:r>
      <w:r>
        <w:t xml:space="preserve"> US program providing Renewable Identification Numbers (RINs) for qualifying biofuels. RNG and SAF from waste feedstocks qualify for D3 (cellulosic) RINs, the highest value category.</w:t>
      </w:r>
    </w:p>
    <w:p w14:paraId="1816E7FD" w14:textId="77777777" w:rsidR="00D37098" w:rsidRDefault="00D37098">
      <w:pPr>
        <w:pStyle w:val="MdSpace"/>
        <w:spacing w:after="60"/>
      </w:pPr>
    </w:p>
    <w:p w14:paraId="41CE8B29" w14:textId="77777777" w:rsidR="00D37098" w:rsidRDefault="00D37098">
      <w:pPr>
        <w:pStyle w:val="MdHr"/>
        <w:pBdr>
          <w:bottom w:val="single" w:sz="6" w:space="1" w:color="auto"/>
        </w:pBdr>
      </w:pPr>
    </w:p>
    <w:p w14:paraId="2BBD6ADA" w14:textId="77777777" w:rsidR="00D37098" w:rsidRDefault="00D37098">
      <w:pPr>
        <w:pStyle w:val="MdSpace"/>
        <w:spacing w:after="60"/>
      </w:pPr>
    </w:p>
    <w:p w14:paraId="1CB90790" w14:textId="77777777" w:rsidR="00D37098" w:rsidRDefault="00000000">
      <w:pPr>
        <w:pStyle w:val="MdHeading2"/>
      </w:pPr>
      <w:r>
        <w:t>12. Future Development Roadmap</w:t>
      </w:r>
    </w:p>
    <w:p w14:paraId="0163D50A" w14:textId="77777777" w:rsidR="00D37098" w:rsidRDefault="00000000">
      <w:pPr>
        <w:pStyle w:val="MdHeading3"/>
      </w:pPr>
      <w:r>
        <w:t>12.1 Near-Term Priorities (2025-2026)</w:t>
      </w:r>
    </w:p>
    <w:p w14:paraId="6DF09D2C" w14:textId="77777777" w:rsidR="00D37098" w:rsidRDefault="00000000">
      <w:pPr>
        <w:pStyle w:val="MdParagraph"/>
      </w:pPr>
      <w:r>
        <w:rPr>
          <w:rStyle w:val="MdStrong"/>
        </w:rPr>
        <w:t>1. Complete X-150 Development and Testing</w:t>
      </w:r>
    </w:p>
    <w:p w14:paraId="42CA9832" w14:textId="77777777" w:rsidR="00D37098" w:rsidRDefault="00000000">
      <w:pPr>
        <w:pStyle w:val="MdListItem"/>
        <w:numPr>
          <w:ilvl w:val="0"/>
          <w:numId w:val="2"/>
        </w:numPr>
      </w:pPr>
      <w:r>
        <w:t>Finalize design and drawings with manufacturer</w:t>
      </w:r>
    </w:p>
    <w:p w14:paraId="713D9B3D" w14:textId="77777777" w:rsidR="00D37098" w:rsidRDefault="00000000">
      <w:pPr>
        <w:pStyle w:val="MdListItem"/>
        <w:numPr>
          <w:ilvl w:val="0"/>
          <w:numId w:val="2"/>
        </w:numPr>
      </w:pPr>
      <w:r>
        <w:t>Complete factory acceptance testing (FAT)</w:t>
      </w:r>
    </w:p>
    <w:p w14:paraId="637974A2" w14:textId="77777777" w:rsidR="00D37098" w:rsidRDefault="00000000">
      <w:pPr>
        <w:pStyle w:val="MdListItem"/>
        <w:numPr>
          <w:ilvl w:val="0"/>
          <w:numId w:val="2"/>
        </w:numPr>
      </w:pPr>
      <w:r>
        <w:t>Deploy first commercial unit</w:t>
      </w:r>
    </w:p>
    <w:p w14:paraId="457C6642" w14:textId="77777777" w:rsidR="00D37098" w:rsidRDefault="00000000">
      <w:pPr>
        <w:pStyle w:val="MdListItem"/>
        <w:numPr>
          <w:ilvl w:val="0"/>
          <w:numId w:val="2"/>
        </w:numPr>
      </w:pPr>
      <w:r>
        <w:lastRenderedPageBreak/>
        <w:t>Collect comprehensive operational data</w:t>
      </w:r>
    </w:p>
    <w:p w14:paraId="506BD209" w14:textId="77777777" w:rsidR="00D37098" w:rsidRDefault="00D37098">
      <w:pPr>
        <w:pStyle w:val="MdSpace"/>
        <w:spacing w:after="60"/>
      </w:pPr>
    </w:p>
    <w:p w14:paraId="536577DD" w14:textId="77777777" w:rsidR="00D37098" w:rsidRDefault="00000000">
      <w:pPr>
        <w:pStyle w:val="MdParagraph"/>
      </w:pPr>
      <w:r>
        <w:rPr>
          <w:rStyle w:val="MdStrong"/>
        </w:rPr>
        <w:t>2. Emissions Characterization</w:t>
      </w:r>
    </w:p>
    <w:p w14:paraId="76B435E5" w14:textId="77777777" w:rsidR="00D37098" w:rsidRDefault="00000000">
      <w:pPr>
        <w:pStyle w:val="MdListItem"/>
        <w:numPr>
          <w:ilvl w:val="0"/>
          <w:numId w:val="2"/>
        </w:numPr>
      </w:pPr>
      <w:r>
        <w:t>Conduct third-party emissions testing across multiple feedstocks</w:t>
      </w:r>
    </w:p>
    <w:p w14:paraId="7A847F82" w14:textId="77777777" w:rsidR="00D37098" w:rsidRDefault="00000000">
      <w:pPr>
        <w:pStyle w:val="MdListItem"/>
        <w:numPr>
          <w:ilvl w:val="0"/>
          <w:numId w:val="2"/>
        </w:numPr>
      </w:pPr>
      <w:r>
        <w:t>Obtain regulatory approvals in target markets (EU, US)</w:t>
      </w:r>
    </w:p>
    <w:p w14:paraId="481C9F07" w14:textId="77777777" w:rsidR="00D37098" w:rsidRDefault="00000000">
      <w:pPr>
        <w:pStyle w:val="MdListItem"/>
        <w:numPr>
          <w:ilvl w:val="0"/>
          <w:numId w:val="2"/>
        </w:numPr>
      </w:pPr>
      <w:r>
        <w:t>Validate carbon credit methodologies</w:t>
      </w:r>
    </w:p>
    <w:p w14:paraId="0D0DB2AD" w14:textId="77777777" w:rsidR="00D37098" w:rsidRDefault="00D37098">
      <w:pPr>
        <w:pStyle w:val="MdSpace"/>
        <w:spacing w:after="60"/>
      </w:pPr>
    </w:p>
    <w:p w14:paraId="618C563C" w14:textId="77777777" w:rsidR="00D37098" w:rsidRDefault="00000000">
      <w:pPr>
        <w:pStyle w:val="MdParagraph"/>
      </w:pPr>
      <w:r>
        <w:rPr>
          <w:rStyle w:val="MdStrong"/>
        </w:rPr>
        <w:t>3. Client Project Execution</w:t>
      </w:r>
    </w:p>
    <w:p w14:paraId="5FD52F42" w14:textId="77777777" w:rsidR="00D37098" w:rsidRDefault="00000000">
      <w:pPr>
        <w:pStyle w:val="MdListItem"/>
        <w:numPr>
          <w:ilvl w:val="0"/>
          <w:numId w:val="2"/>
        </w:numPr>
      </w:pPr>
      <w:r>
        <w:t>SAF from landfill waste (active client)</w:t>
      </w:r>
    </w:p>
    <w:p w14:paraId="1082F3A9" w14:textId="77777777" w:rsidR="00D37098" w:rsidRDefault="00000000">
      <w:pPr>
        <w:pStyle w:val="MdListItem"/>
        <w:numPr>
          <w:ilvl w:val="0"/>
          <w:numId w:val="2"/>
        </w:numPr>
      </w:pPr>
      <w:r>
        <w:t>Brewery BSG to electricity (active client)</w:t>
      </w:r>
    </w:p>
    <w:p w14:paraId="0ACA5777" w14:textId="77777777" w:rsidR="00D37098" w:rsidRDefault="00000000">
      <w:pPr>
        <w:pStyle w:val="MdListItem"/>
        <w:numPr>
          <w:ilvl w:val="0"/>
          <w:numId w:val="2"/>
        </w:numPr>
      </w:pPr>
      <w:r>
        <w:t>Bush feed to methane (active client)</w:t>
      </w:r>
    </w:p>
    <w:p w14:paraId="0F8A2522" w14:textId="77777777" w:rsidR="00D37098" w:rsidRDefault="00D37098">
      <w:pPr>
        <w:pStyle w:val="MdSpace"/>
        <w:spacing w:after="60"/>
      </w:pPr>
    </w:p>
    <w:p w14:paraId="41BF45F8" w14:textId="77777777" w:rsidR="00D37098" w:rsidRDefault="00000000">
      <w:pPr>
        <w:pStyle w:val="MdParagraph"/>
      </w:pPr>
      <w:r>
        <w:rPr>
          <w:rStyle w:val="MdStrong"/>
        </w:rPr>
        <w:t>4. Catalyst Optimization</w:t>
      </w:r>
    </w:p>
    <w:p w14:paraId="61EC12E8" w14:textId="77777777" w:rsidR="00D37098" w:rsidRDefault="00000000">
      <w:pPr>
        <w:pStyle w:val="MdListItem"/>
        <w:numPr>
          <w:ilvl w:val="0"/>
          <w:numId w:val="2"/>
        </w:numPr>
      </w:pPr>
      <w:r>
        <w:t xml:space="preserve">Extend </w:t>
      </w:r>
      <w:proofErr w:type="spellStart"/>
      <w:r>
        <w:t>SyngaPure</w:t>
      </w:r>
      <w:proofErr w:type="spellEnd"/>
      <w:r>
        <w:t>™ catalyst lifetime (reduce replacement frequency)</w:t>
      </w:r>
    </w:p>
    <w:p w14:paraId="389E49FD" w14:textId="77777777" w:rsidR="00D37098" w:rsidRDefault="00000000">
      <w:pPr>
        <w:pStyle w:val="MdListItem"/>
        <w:numPr>
          <w:ilvl w:val="0"/>
          <w:numId w:val="2"/>
        </w:numPr>
      </w:pPr>
      <w:r>
        <w:t>Reduce platinum loading (lower cost)</w:t>
      </w:r>
    </w:p>
    <w:p w14:paraId="2B89447B" w14:textId="77777777" w:rsidR="00D37098" w:rsidRDefault="00000000">
      <w:pPr>
        <w:pStyle w:val="MdListItem"/>
        <w:numPr>
          <w:ilvl w:val="0"/>
          <w:numId w:val="2"/>
        </w:numPr>
      </w:pPr>
      <w:r>
        <w:t>Develop feedstock-specific catalyst formulations</w:t>
      </w:r>
    </w:p>
    <w:p w14:paraId="4C14E6CB" w14:textId="77777777" w:rsidR="00D37098" w:rsidRDefault="00D37098">
      <w:pPr>
        <w:pStyle w:val="MdSpace"/>
        <w:spacing w:after="60"/>
      </w:pPr>
    </w:p>
    <w:p w14:paraId="58E6D7DB" w14:textId="77777777" w:rsidR="00D37098" w:rsidRDefault="00000000">
      <w:pPr>
        <w:pStyle w:val="MdHeading3"/>
      </w:pPr>
      <w:r>
        <w:t>12.2 Medium-Term Goals (2027-2028)</w:t>
      </w:r>
    </w:p>
    <w:p w14:paraId="2AF3CBCB" w14:textId="77777777" w:rsidR="00D37098" w:rsidRDefault="00000000">
      <w:pPr>
        <w:pStyle w:val="MdParagraph"/>
      </w:pPr>
      <w:r>
        <w:rPr>
          <w:rStyle w:val="MdStrong"/>
        </w:rPr>
        <w:t>1. Scale Manufacturing</w:t>
      </w:r>
    </w:p>
    <w:p w14:paraId="65DDFF6A" w14:textId="77777777" w:rsidR="00D37098" w:rsidRDefault="00000000">
      <w:pPr>
        <w:pStyle w:val="MdListItem"/>
        <w:numPr>
          <w:ilvl w:val="0"/>
          <w:numId w:val="2"/>
        </w:numPr>
      </w:pPr>
      <w:r>
        <w:t>Increase production capacity to 10-20 units per year</w:t>
      </w:r>
    </w:p>
    <w:p w14:paraId="109C6917" w14:textId="77777777" w:rsidR="00D37098" w:rsidRDefault="00000000">
      <w:pPr>
        <w:pStyle w:val="MdListItem"/>
        <w:numPr>
          <w:ilvl w:val="0"/>
          <w:numId w:val="2"/>
        </w:numPr>
      </w:pPr>
      <w:r>
        <w:t>Reduce manufacturing costs through economies of scale</w:t>
      </w:r>
    </w:p>
    <w:p w14:paraId="5B785A31" w14:textId="77777777" w:rsidR="00D37098" w:rsidRDefault="00000000">
      <w:pPr>
        <w:pStyle w:val="MdListItem"/>
        <w:numPr>
          <w:ilvl w:val="0"/>
          <w:numId w:val="2"/>
        </w:numPr>
      </w:pPr>
      <w:r>
        <w:t>Establish regional manufacturing or assembly facilities</w:t>
      </w:r>
    </w:p>
    <w:p w14:paraId="3328E48A" w14:textId="77777777" w:rsidR="00D37098" w:rsidRDefault="00D37098">
      <w:pPr>
        <w:pStyle w:val="MdSpace"/>
        <w:spacing w:after="60"/>
      </w:pPr>
    </w:p>
    <w:p w14:paraId="42D45AB3" w14:textId="77777777" w:rsidR="00D37098" w:rsidRDefault="00000000">
      <w:pPr>
        <w:pStyle w:val="MdParagraph"/>
      </w:pPr>
      <w:r>
        <w:rPr>
          <w:rStyle w:val="MdStrong"/>
        </w:rPr>
        <w:t>2. Expand Product Line</w:t>
      </w:r>
    </w:p>
    <w:p w14:paraId="67A85353" w14:textId="77777777" w:rsidR="00D37098" w:rsidRDefault="00000000">
      <w:pPr>
        <w:pStyle w:val="MdListItem"/>
        <w:numPr>
          <w:ilvl w:val="0"/>
          <w:numId w:val="2"/>
        </w:numPr>
      </w:pPr>
      <w:r>
        <w:t>Develop X-300 (double capacity) for larger facilities</w:t>
      </w:r>
    </w:p>
    <w:p w14:paraId="3F91903D" w14:textId="77777777" w:rsidR="00D37098" w:rsidRDefault="00000000">
      <w:pPr>
        <w:pStyle w:val="MdListItem"/>
        <w:numPr>
          <w:ilvl w:val="0"/>
          <w:numId w:val="2"/>
        </w:numPr>
      </w:pPr>
      <w:r>
        <w:t>Develop X-75 (half capacity) for smaller applications</w:t>
      </w:r>
    </w:p>
    <w:p w14:paraId="4E573C04" w14:textId="77777777" w:rsidR="00D37098" w:rsidRDefault="00000000">
      <w:pPr>
        <w:pStyle w:val="MdListItem"/>
        <w:numPr>
          <w:ilvl w:val="0"/>
          <w:numId w:val="2"/>
        </w:numPr>
      </w:pPr>
      <w:r>
        <w:t>Develop mobile/containerized units for temporary deployments</w:t>
      </w:r>
    </w:p>
    <w:p w14:paraId="03A646B7" w14:textId="77777777" w:rsidR="00D37098" w:rsidRDefault="00D37098">
      <w:pPr>
        <w:pStyle w:val="MdSpace"/>
        <w:spacing w:after="60"/>
      </w:pPr>
    </w:p>
    <w:p w14:paraId="1CF3851E" w14:textId="77777777" w:rsidR="00D37098" w:rsidRDefault="00000000">
      <w:pPr>
        <w:pStyle w:val="MdParagraph"/>
      </w:pPr>
      <w:r>
        <w:rPr>
          <w:rStyle w:val="MdStrong"/>
        </w:rPr>
        <w:t>3. Geographic Expansion</w:t>
      </w:r>
    </w:p>
    <w:p w14:paraId="454690F0" w14:textId="77777777" w:rsidR="00D37098" w:rsidRDefault="00000000">
      <w:pPr>
        <w:pStyle w:val="MdListItem"/>
        <w:numPr>
          <w:ilvl w:val="0"/>
          <w:numId w:val="2"/>
        </w:numPr>
      </w:pPr>
      <w:r>
        <w:t>Establish presence in key markets (EU, US, Asia)</w:t>
      </w:r>
    </w:p>
    <w:p w14:paraId="3F331424" w14:textId="77777777" w:rsidR="00D37098" w:rsidRDefault="00000000">
      <w:pPr>
        <w:pStyle w:val="MdListItem"/>
        <w:numPr>
          <w:ilvl w:val="0"/>
          <w:numId w:val="2"/>
        </w:numPr>
      </w:pPr>
      <w:r>
        <w:t>Build local partnerships for sales, installation, and service</w:t>
      </w:r>
    </w:p>
    <w:p w14:paraId="25987176" w14:textId="77777777" w:rsidR="00D37098" w:rsidRDefault="00000000">
      <w:pPr>
        <w:pStyle w:val="MdListItem"/>
        <w:numPr>
          <w:ilvl w:val="0"/>
          <w:numId w:val="2"/>
        </w:numPr>
      </w:pPr>
      <w:r>
        <w:t>Adapt designs for regional feedstocks and regulations</w:t>
      </w:r>
    </w:p>
    <w:p w14:paraId="6445812D" w14:textId="77777777" w:rsidR="00D37098" w:rsidRDefault="00D37098">
      <w:pPr>
        <w:pStyle w:val="MdSpace"/>
        <w:spacing w:after="60"/>
      </w:pPr>
    </w:p>
    <w:p w14:paraId="597975DC" w14:textId="77777777" w:rsidR="00D37098" w:rsidRDefault="00000000">
      <w:pPr>
        <w:pStyle w:val="MdParagraph"/>
      </w:pPr>
      <w:r>
        <w:rPr>
          <w:rStyle w:val="MdStrong"/>
        </w:rPr>
        <w:t>4. Technology Advancement</w:t>
      </w:r>
    </w:p>
    <w:p w14:paraId="23AB62F3" w14:textId="77777777" w:rsidR="00D37098" w:rsidRDefault="00000000">
      <w:pPr>
        <w:pStyle w:val="MdListItem"/>
        <w:numPr>
          <w:ilvl w:val="0"/>
          <w:numId w:val="2"/>
        </w:numPr>
      </w:pPr>
      <w:r>
        <w:t>Integrate AI/ML for predictive maintenance and optimization</w:t>
      </w:r>
    </w:p>
    <w:p w14:paraId="00FFB895" w14:textId="77777777" w:rsidR="00D37098" w:rsidRDefault="00000000">
      <w:pPr>
        <w:pStyle w:val="MdListItem"/>
        <w:numPr>
          <w:ilvl w:val="0"/>
          <w:numId w:val="2"/>
        </w:numPr>
      </w:pPr>
      <w:r>
        <w:t>Develop advanced process controls for feedstock variability</w:t>
      </w:r>
    </w:p>
    <w:p w14:paraId="6D58D75C" w14:textId="77777777" w:rsidR="00D37098" w:rsidRDefault="00000000">
      <w:pPr>
        <w:pStyle w:val="MdListItem"/>
        <w:numPr>
          <w:ilvl w:val="0"/>
          <w:numId w:val="2"/>
        </w:numPr>
      </w:pPr>
      <w:r>
        <w:t>Explore novel catalyst formulations (non-platinum alternatives)</w:t>
      </w:r>
    </w:p>
    <w:p w14:paraId="044ADD36" w14:textId="77777777" w:rsidR="00D37098" w:rsidRDefault="00D37098">
      <w:pPr>
        <w:pStyle w:val="MdSpace"/>
        <w:spacing w:after="60"/>
      </w:pPr>
    </w:p>
    <w:p w14:paraId="47151824" w14:textId="77777777" w:rsidR="00D37098" w:rsidRDefault="00000000">
      <w:pPr>
        <w:pStyle w:val="MdHeading3"/>
      </w:pPr>
      <w:r>
        <w:t>12.3 Long-Term Vision (2029-2035)</w:t>
      </w:r>
    </w:p>
    <w:p w14:paraId="0F4BE769" w14:textId="77777777" w:rsidR="00D37098" w:rsidRDefault="00000000">
      <w:pPr>
        <w:pStyle w:val="MdParagraph"/>
      </w:pPr>
      <w:r>
        <w:rPr>
          <w:rStyle w:val="MdStrong"/>
        </w:rPr>
        <w:t>1. Market Leadership</w:t>
      </w:r>
    </w:p>
    <w:p w14:paraId="6DF961D0" w14:textId="77777777" w:rsidR="00D37098" w:rsidRDefault="00000000">
      <w:pPr>
        <w:pStyle w:val="MdListItem"/>
        <w:numPr>
          <w:ilvl w:val="0"/>
          <w:numId w:val="2"/>
        </w:numPr>
      </w:pPr>
      <w:r>
        <w:lastRenderedPageBreak/>
        <w:t>Deploy 1,000+ X-150 units globally</w:t>
      </w:r>
    </w:p>
    <w:p w14:paraId="132A4B05" w14:textId="77777777" w:rsidR="00D37098" w:rsidRDefault="00000000">
      <w:pPr>
        <w:pStyle w:val="MdListItem"/>
        <w:numPr>
          <w:ilvl w:val="0"/>
          <w:numId w:val="2"/>
        </w:numPr>
      </w:pPr>
      <w:r>
        <w:t>Establish Zero-X as the leading distributed waste-to-energy technology</w:t>
      </w:r>
    </w:p>
    <w:p w14:paraId="588CCC5E" w14:textId="77777777" w:rsidR="00D37098" w:rsidRDefault="00000000">
      <w:pPr>
        <w:pStyle w:val="MdListItem"/>
        <w:numPr>
          <w:ilvl w:val="0"/>
          <w:numId w:val="2"/>
        </w:numPr>
      </w:pPr>
      <w:r>
        <w:t>Capture 10% of serviceable addressable market ($12.7B revenue over 10 years)</w:t>
      </w:r>
    </w:p>
    <w:p w14:paraId="2C890BEA" w14:textId="77777777" w:rsidR="00D37098" w:rsidRDefault="00D37098">
      <w:pPr>
        <w:pStyle w:val="MdSpace"/>
        <w:spacing w:after="60"/>
      </w:pPr>
    </w:p>
    <w:p w14:paraId="209ADAB7" w14:textId="77777777" w:rsidR="00D37098" w:rsidRDefault="00000000">
      <w:pPr>
        <w:pStyle w:val="MdParagraph"/>
      </w:pPr>
      <w:r>
        <w:rPr>
          <w:rStyle w:val="MdStrong"/>
        </w:rPr>
        <w:t>2. Vertical Integration</w:t>
      </w:r>
    </w:p>
    <w:p w14:paraId="6FC555A0" w14:textId="77777777" w:rsidR="00D37098" w:rsidRDefault="00000000">
      <w:pPr>
        <w:pStyle w:val="MdListItem"/>
        <w:numPr>
          <w:ilvl w:val="0"/>
          <w:numId w:val="2"/>
        </w:numPr>
      </w:pPr>
      <w:r>
        <w:t>Develop in-house catalyst manufacturing capability</w:t>
      </w:r>
    </w:p>
    <w:p w14:paraId="0072CF58" w14:textId="77777777" w:rsidR="00D37098" w:rsidRDefault="00000000">
      <w:pPr>
        <w:pStyle w:val="MdListItem"/>
        <w:numPr>
          <w:ilvl w:val="0"/>
          <w:numId w:val="2"/>
        </w:numPr>
      </w:pPr>
      <w:r>
        <w:t>Establish BOO project development and financing capability</w:t>
      </w:r>
    </w:p>
    <w:p w14:paraId="4F890BF4" w14:textId="77777777" w:rsidR="00D37098" w:rsidRDefault="00000000">
      <w:pPr>
        <w:pStyle w:val="MdListItem"/>
        <w:numPr>
          <w:ilvl w:val="0"/>
          <w:numId w:val="2"/>
        </w:numPr>
      </w:pPr>
      <w:r>
        <w:t>Create digital platform for fleet management and optimization</w:t>
      </w:r>
    </w:p>
    <w:p w14:paraId="579C7731" w14:textId="77777777" w:rsidR="00D37098" w:rsidRDefault="00D37098">
      <w:pPr>
        <w:pStyle w:val="MdSpace"/>
        <w:spacing w:after="60"/>
      </w:pPr>
    </w:p>
    <w:p w14:paraId="28957928" w14:textId="77777777" w:rsidR="00D37098" w:rsidRDefault="00000000">
      <w:pPr>
        <w:pStyle w:val="MdParagraph"/>
      </w:pPr>
      <w:r>
        <w:rPr>
          <w:rStyle w:val="MdStrong"/>
        </w:rPr>
        <w:t>3. Technology Diversification</w:t>
      </w:r>
    </w:p>
    <w:p w14:paraId="0955ABA8" w14:textId="77777777" w:rsidR="00D37098" w:rsidRDefault="00000000">
      <w:pPr>
        <w:pStyle w:val="MdListItem"/>
        <w:numPr>
          <w:ilvl w:val="0"/>
          <w:numId w:val="2"/>
        </w:numPr>
      </w:pPr>
      <w:r>
        <w:t>Expand beyond gasification to complementary waste-to-value technologies</w:t>
      </w:r>
    </w:p>
    <w:p w14:paraId="36A70162" w14:textId="77777777" w:rsidR="00D37098" w:rsidRDefault="00000000">
      <w:pPr>
        <w:pStyle w:val="MdListItem"/>
        <w:numPr>
          <w:ilvl w:val="0"/>
          <w:numId w:val="2"/>
        </w:numPr>
      </w:pPr>
      <w:r>
        <w:t>Develop integrated waste processing systems (sorting + gasification + product upgrading)</w:t>
      </w:r>
    </w:p>
    <w:p w14:paraId="3FECCCAA" w14:textId="77777777" w:rsidR="00D37098" w:rsidRDefault="00000000">
      <w:pPr>
        <w:pStyle w:val="MdListItem"/>
        <w:numPr>
          <w:ilvl w:val="0"/>
          <w:numId w:val="2"/>
        </w:numPr>
      </w:pPr>
      <w:r>
        <w:t>Explore carbon capture and utilization (CCU) integration</w:t>
      </w:r>
    </w:p>
    <w:p w14:paraId="7A747B35" w14:textId="77777777" w:rsidR="00D37098" w:rsidRDefault="00D37098">
      <w:pPr>
        <w:pStyle w:val="MdSpace"/>
        <w:spacing w:after="60"/>
      </w:pPr>
    </w:p>
    <w:p w14:paraId="61A79E35" w14:textId="77777777" w:rsidR="00D37098" w:rsidRDefault="00000000">
      <w:pPr>
        <w:pStyle w:val="MdParagraph"/>
      </w:pPr>
      <w:r>
        <w:rPr>
          <w:rStyle w:val="MdStrong"/>
        </w:rPr>
        <w:t>4. Sustainability Impact</w:t>
      </w:r>
    </w:p>
    <w:p w14:paraId="766D3E21" w14:textId="77777777" w:rsidR="00D37098" w:rsidRDefault="00000000">
      <w:pPr>
        <w:pStyle w:val="MdListItem"/>
        <w:numPr>
          <w:ilvl w:val="0"/>
          <w:numId w:val="2"/>
        </w:numPr>
      </w:pPr>
      <w:r>
        <w:t>Divert 1+ million tonnes of waste from landfills annually</w:t>
      </w:r>
    </w:p>
    <w:p w14:paraId="57F560E3" w14:textId="77777777" w:rsidR="00D37098" w:rsidRDefault="00000000">
      <w:pPr>
        <w:pStyle w:val="MdListItem"/>
        <w:numPr>
          <w:ilvl w:val="0"/>
          <w:numId w:val="2"/>
        </w:numPr>
      </w:pPr>
      <w:r>
        <w:t xml:space="preserve">Avoid 500,000+ tonnes </w:t>
      </w:r>
      <w:proofErr w:type="spellStart"/>
      <w:r>
        <w:t>CO₂eq</w:t>
      </w:r>
      <w:proofErr w:type="spellEnd"/>
      <w:r>
        <w:t xml:space="preserve"> emissions annually</w:t>
      </w:r>
    </w:p>
    <w:p w14:paraId="7B92C9B1" w14:textId="77777777" w:rsidR="00D37098" w:rsidRDefault="00000000">
      <w:pPr>
        <w:pStyle w:val="MdListItem"/>
        <w:numPr>
          <w:ilvl w:val="0"/>
          <w:numId w:val="2"/>
        </w:numPr>
      </w:pPr>
      <w:r>
        <w:t>Contribute to circular economy and net-zero goals globally</w:t>
      </w:r>
    </w:p>
    <w:p w14:paraId="4950745A" w14:textId="77777777" w:rsidR="00D37098" w:rsidRDefault="00D37098">
      <w:pPr>
        <w:pStyle w:val="MdSpace"/>
        <w:spacing w:after="60"/>
      </w:pPr>
    </w:p>
    <w:p w14:paraId="2E8C6DA6" w14:textId="77777777" w:rsidR="00D37098" w:rsidRDefault="00D37098">
      <w:pPr>
        <w:pStyle w:val="MdHr"/>
        <w:pBdr>
          <w:bottom w:val="single" w:sz="6" w:space="1" w:color="auto"/>
        </w:pBdr>
      </w:pPr>
    </w:p>
    <w:p w14:paraId="5C5741AF" w14:textId="77777777" w:rsidR="00D37098" w:rsidRDefault="00D37098">
      <w:pPr>
        <w:pStyle w:val="MdSpace"/>
        <w:spacing w:after="60"/>
      </w:pPr>
    </w:p>
    <w:p w14:paraId="1A7FC240" w14:textId="77777777" w:rsidR="00D37098" w:rsidRDefault="00000000">
      <w:pPr>
        <w:pStyle w:val="MdHeading2"/>
      </w:pPr>
      <w:r>
        <w:t>Conclusion</w:t>
      </w:r>
    </w:p>
    <w:p w14:paraId="324BC567" w14:textId="77777777" w:rsidR="00D37098" w:rsidRDefault="00000000">
      <w:pPr>
        <w:pStyle w:val="MdParagraph"/>
      </w:pPr>
      <w:r>
        <w:t xml:space="preserve">The </w:t>
      </w:r>
      <w:r>
        <w:rPr>
          <w:rStyle w:val="MdStrong"/>
        </w:rPr>
        <w:t>X-150 Gasification System</w:t>
      </w:r>
      <w:r>
        <w:t xml:space="preserve"> represents a compelling convergence of proven technology, breakthrough innovation, and market opportunity. By combining MFC's reliable downdraft gasification platform with Zero-X's </w:t>
      </w:r>
      <w:proofErr w:type="spellStart"/>
      <w:r>
        <w:t>SyngaPure</w:t>
      </w:r>
      <w:proofErr w:type="spellEnd"/>
      <w:r>
        <w:t>™ catalyst breakthrough, the X-150 enables distributed waste-to-energy applications that were previously impossible due to tar contamination.</w:t>
      </w:r>
    </w:p>
    <w:p w14:paraId="1FE0C415" w14:textId="77777777" w:rsidR="00D37098" w:rsidRDefault="00D37098">
      <w:pPr>
        <w:pStyle w:val="MdSpace"/>
        <w:spacing w:after="60"/>
      </w:pPr>
    </w:p>
    <w:p w14:paraId="0CCF0DEF" w14:textId="77777777" w:rsidR="00D37098" w:rsidRDefault="00000000">
      <w:pPr>
        <w:pStyle w:val="MdParagraph"/>
      </w:pPr>
      <w:r>
        <w:rPr>
          <w:rStyle w:val="MdStrong"/>
        </w:rPr>
        <w:t>Key Takeaways:</w:t>
      </w:r>
    </w:p>
    <w:p w14:paraId="7E56350E" w14:textId="77777777" w:rsidR="00D37098" w:rsidRDefault="00D37098">
      <w:pPr>
        <w:pStyle w:val="MdSpace"/>
        <w:spacing w:after="60"/>
      </w:pPr>
    </w:p>
    <w:p w14:paraId="4C3E52DF" w14:textId="77777777" w:rsidR="00D37098" w:rsidRDefault="00000000">
      <w:pPr>
        <w:pStyle w:val="MdParagraph"/>
      </w:pPr>
      <w:r>
        <w:rPr>
          <w:rStyle w:val="MdStrong"/>
        </w:rPr>
        <w:t>Technical Excellence:</w:t>
      </w:r>
      <w:r>
        <w:t xml:space="preserve"> The X-150 delivers 85% total efficiency, 94% tar removal, and proven 1,300-hour operational validation, setting new standards for distributed gasification.</w:t>
      </w:r>
    </w:p>
    <w:p w14:paraId="0DFE075C" w14:textId="77777777" w:rsidR="00D37098" w:rsidRDefault="00D37098">
      <w:pPr>
        <w:pStyle w:val="MdSpace"/>
        <w:spacing w:after="60"/>
      </w:pPr>
    </w:p>
    <w:p w14:paraId="656D1FCC" w14:textId="77777777" w:rsidR="00D37098" w:rsidRDefault="00000000">
      <w:pPr>
        <w:pStyle w:val="MdParagraph"/>
      </w:pPr>
      <w:r>
        <w:rPr>
          <w:rStyle w:val="MdStrong"/>
        </w:rPr>
        <w:t>Business Versatility:</w:t>
      </w:r>
      <w:r>
        <w:t xml:space="preserve"> Multiple configurations (VOLT, HEAT, CHILL, H₂, SAF, RNG) and business models (equipment sales, BOO, licensing, R&amp;D services) enable customization to diverse customer needs and markets.</w:t>
      </w:r>
    </w:p>
    <w:p w14:paraId="2669CAF9" w14:textId="77777777" w:rsidR="00D37098" w:rsidRDefault="00D37098">
      <w:pPr>
        <w:pStyle w:val="MdSpace"/>
        <w:spacing w:after="60"/>
      </w:pPr>
    </w:p>
    <w:p w14:paraId="439C8195" w14:textId="77777777" w:rsidR="00D37098" w:rsidRDefault="00000000">
      <w:pPr>
        <w:pStyle w:val="MdParagraph"/>
      </w:pPr>
      <w:r>
        <w:rPr>
          <w:rStyle w:val="MdStrong"/>
        </w:rPr>
        <w:t>Market Opportunity:</w:t>
      </w:r>
      <w:r>
        <w:t xml:space="preserve"> $847 billion total addressable market across 22+ use cases, with realistic 10-year capture potential of $12.7 billion representing 1,000 global installations.</w:t>
      </w:r>
    </w:p>
    <w:p w14:paraId="662403C6" w14:textId="77777777" w:rsidR="00D37098" w:rsidRDefault="00D37098">
      <w:pPr>
        <w:pStyle w:val="MdSpace"/>
        <w:spacing w:after="60"/>
      </w:pPr>
    </w:p>
    <w:p w14:paraId="0EB1AA2F" w14:textId="77777777" w:rsidR="00D37098" w:rsidRDefault="00000000">
      <w:pPr>
        <w:pStyle w:val="MdParagraph"/>
      </w:pPr>
      <w:r>
        <w:rPr>
          <w:rStyle w:val="MdStrong"/>
        </w:rPr>
        <w:lastRenderedPageBreak/>
        <w:t>Financial Performance:</w:t>
      </w:r>
      <w:r>
        <w:t xml:space="preserve"> BOO model delivers 85%+ IRR, 1-year payback, and $5.8M annual EBITDA per 100 tonne/day facility, driven by multiple revenue streams (tipping fees + energy sales + carbon credits + biochar).</w:t>
      </w:r>
    </w:p>
    <w:p w14:paraId="50DA8C17" w14:textId="77777777" w:rsidR="00D37098" w:rsidRDefault="00D37098">
      <w:pPr>
        <w:pStyle w:val="MdSpace"/>
        <w:spacing w:after="60"/>
      </w:pPr>
    </w:p>
    <w:p w14:paraId="6B3D1EFA" w14:textId="77777777" w:rsidR="00D37098" w:rsidRDefault="00000000">
      <w:pPr>
        <w:pStyle w:val="MdParagraph"/>
      </w:pPr>
      <w:r>
        <w:rPr>
          <w:rStyle w:val="MdStrong"/>
        </w:rPr>
        <w:t>Strategic Positioning:</w:t>
      </w:r>
      <w:r>
        <w:t xml:space="preserve"> Distributed scale (3.6 tonnes/day) serves underserved market segment, avoiding direct competition with large centralized facilities while addressing massive global waste and energy challenges.</w:t>
      </w:r>
    </w:p>
    <w:p w14:paraId="22DA47BF" w14:textId="77777777" w:rsidR="00D37098" w:rsidRDefault="00D37098">
      <w:pPr>
        <w:pStyle w:val="MdSpace"/>
        <w:spacing w:after="60"/>
      </w:pPr>
    </w:p>
    <w:p w14:paraId="2AFF25A8" w14:textId="77777777" w:rsidR="00D37098" w:rsidRDefault="00000000">
      <w:pPr>
        <w:pStyle w:val="MdParagraph"/>
      </w:pPr>
      <w:r>
        <w:rPr>
          <w:rStyle w:val="MdStrong"/>
        </w:rPr>
        <w:t>Execution Readiness:</w:t>
      </w:r>
      <w:r>
        <w:t xml:space="preserve"> Clear 15-18 month deployment timeline, proven technology validation, strategic manufacturing partnership with MFC, and active client pipeline (SAF, brewery, agricultural projects).</w:t>
      </w:r>
    </w:p>
    <w:p w14:paraId="19546B83" w14:textId="77777777" w:rsidR="00D37098" w:rsidRDefault="00D37098">
      <w:pPr>
        <w:pStyle w:val="MdSpace"/>
        <w:spacing w:after="60"/>
      </w:pPr>
    </w:p>
    <w:p w14:paraId="56AD2D05" w14:textId="77777777" w:rsidR="00D37098" w:rsidRDefault="00000000">
      <w:pPr>
        <w:pStyle w:val="MdParagraph"/>
      </w:pPr>
      <w:r>
        <w:t xml:space="preserve">The X-150 is positioned to become the </w:t>
      </w:r>
      <w:r>
        <w:rPr>
          <w:rStyle w:val="MdStrong"/>
        </w:rPr>
        <w:t>distributed waste-to-energy platform of choice</w:t>
      </w:r>
      <w:r>
        <w:t xml:space="preserve"> for organizations seeking to transform waste challenges into sustainable value, contributing to circular economy goals and net-zero commitments globally.</w:t>
      </w:r>
    </w:p>
    <w:p w14:paraId="4CA50E01" w14:textId="77777777" w:rsidR="00D37098" w:rsidRDefault="00D37098">
      <w:pPr>
        <w:pStyle w:val="MdSpace"/>
        <w:spacing w:after="60"/>
      </w:pPr>
    </w:p>
    <w:p w14:paraId="7317197F" w14:textId="77777777" w:rsidR="00D37098" w:rsidRDefault="00D37098">
      <w:pPr>
        <w:pStyle w:val="MdHr"/>
        <w:pBdr>
          <w:bottom w:val="single" w:sz="6" w:space="1" w:color="auto"/>
        </w:pBdr>
      </w:pPr>
    </w:p>
    <w:p w14:paraId="583A14DF" w14:textId="77777777" w:rsidR="00D37098" w:rsidRDefault="00D37098">
      <w:pPr>
        <w:pStyle w:val="MdSpace"/>
        <w:spacing w:after="60"/>
      </w:pPr>
    </w:p>
    <w:p w14:paraId="473F930A" w14:textId="77777777" w:rsidR="00D37098" w:rsidRDefault="00000000">
      <w:pPr>
        <w:pStyle w:val="MdHeading2"/>
      </w:pPr>
      <w:r>
        <w:t>Appendix A: Technical Glossary</w:t>
      </w:r>
    </w:p>
    <w:p w14:paraId="6CF8D347" w14:textId="77777777" w:rsidR="00D37098" w:rsidRDefault="00000000">
      <w:pPr>
        <w:pStyle w:val="MdParagraph"/>
      </w:pPr>
      <w:r>
        <w:rPr>
          <w:rStyle w:val="MdStrong"/>
        </w:rPr>
        <w:t>Biochar:</w:t>
      </w:r>
      <w:r>
        <w:t xml:space="preserve"> Carbon-rich solid residue from gasification, used as agricultural soil amendment and carbon sequestration method.</w:t>
      </w:r>
    </w:p>
    <w:p w14:paraId="20CE332C" w14:textId="77777777" w:rsidR="00D37098" w:rsidRDefault="00D37098">
      <w:pPr>
        <w:pStyle w:val="MdSpace"/>
        <w:spacing w:after="60"/>
      </w:pPr>
    </w:p>
    <w:p w14:paraId="218DD383" w14:textId="77777777" w:rsidR="00D37098" w:rsidRDefault="00000000">
      <w:pPr>
        <w:pStyle w:val="MdParagraph"/>
      </w:pPr>
      <w:r>
        <w:rPr>
          <w:rStyle w:val="MdStrong"/>
        </w:rPr>
        <w:t>CHP (Combined Heat and Power):</w:t>
      </w:r>
      <w:r>
        <w:t xml:space="preserve"> System that simultaneously generates electricity and useful thermal energy from a single fuel source.</w:t>
      </w:r>
    </w:p>
    <w:p w14:paraId="58F808BA" w14:textId="77777777" w:rsidR="00D37098" w:rsidRDefault="00D37098">
      <w:pPr>
        <w:pStyle w:val="MdSpace"/>
        <w:spacing w:after="60"/>
      </w:pPr>
    </w:p>
    <w:p w14:paraId="3E73B3FE" w14:textId="77777777" w:rsidR="00D37098" w:rsidRDefault="00000000">
      <w:pPr>
        <w:pStyle w:val="MdParagraph"/>
      </w:pPr>
      <w:r>
        <w:rPr>
          <w:rStyle w:val="MdStrong"/>
        </w:rPr>
        <w:t>Downdraft Gasification:</w:t>
      </w:r>
      <w:r>
        <w:t xml:space="preserve"> Gasification process where combustible gases flow downward through high-temperature zone, reducing tar formation.</w:t>
      </w:r>
    </w:p>
    <w:p w14:paraId="77CCEABE" w14:textId="77777777" w:rsidR="00D37098" w:rsidRDefault="00D37098">
      <w:pPr>
        <w:pStyle w:val="MdSpace"/>
        <w:spacing w:after="60"/>
      </w:pPr>
    </w:p>
    <w:p w14:paraId="0B566234" w14:textId="77777777" w:rsidR="00D37098" w:rsidRDefault="00000000">
      <w:pPr>
        <w:pStyle w:val="MdParagraph"/>
      </w:pPr>
      <w:r>
        <w:rPr>
          <w:rStyle w:val="MdStrong"/>
        </w:rPr>
        <w:t>Fischer-Tropsch Synthesis:</w:t>
      </w:r>
      <w:r>
        <w:t xml:space="preserve"> Chemical process converting syngas (H₂ + CO) into liquid hydrocarbons for fuel production.</w:t>
      </w:r>
    </w:p>
    <w:p w14:paraId="0C021D04" w14:textId="77777777" w:rsidR="00D37098" w:rsidRDefault="00D37098">
      <w:pPr>
        <w:pStyle w:val="MdSpace"/>
        <w:spacing w:after="60"/>
      </w:pPr>
    </w:p>
    <w:p w14:paraId="481FD7CD" w14:textId="77777777" w:rsidR="00D37098" w:rsidRDefault="00000000">
      <w:pPr>
        <w:pStyle w:val="MdParagraph"/>
      </w:pPr>
      <w:r>
        <w:rPr>
          <w:rStyle w:val="MdStrong"/>
        </w:rPr>
        <w:t>Gasification:</w:t>
      </w:r>
      <w:r>
        <w:t xml:space="preserve"> Thermal conversion of carbonaceous materials into syngas (primarily H₂ and CO) through partial oxidation at high temperature.</w:t>
      </w:r>
    </w:p>
    <w:p w14:paraId="08A6B9E7" w14:textId="77777777" w:rsidR="00D37098" w:rsidRDefault="00D37098">
      <w:pPr>
        <w:pStyle w:val="MdSpace"/>
        <w:spacing w:after="60"/>
      </w:pPr>
    </w:p>
    <w:p w14:paraId="7F369201" w14:textId="77777777" w:rsidR="00D37098" w:rsidRDefault="00000000">
      <w:pPr>
        <w:pStyle w:val="MdParagraph"/>
      </w:pPr>
      <w:r>
        <w:rPr>
          <w:rStyle w:val="MdStrong"/>
        </w:rPr>
        <w:t>LHV (Lower Heating Value):</w:t>
      </w:r>
      <w:r>
        <w:t xml:space="preserve"> Energy content of fuel excluding latent heat of water vaporization.</w:t>
      </w:r>
    </w:p>
    <w:p w14:paraId="6B8C2E51" w14:textId="77777777" w:rsidR="00D37098" w:rsidRDefault="00D37098">
      <w:pPr>
        <w:pStyle w:val="MdSpace"/>
        <w:spacing w:after="60"/>
      </w:pPr>
    </w:p>
    <w:p w14:paraId="7BD9C04D" w14:textId="77777777" w:rsidR="00D37098" w:rsidRDefault="00000000">
      <w:pPr>
        <w:pStyle w:val="MdParagraph"/>
      </w:pPr>
      <w:r>
        <w:rPr>
          <w:rStyle w:val="MdStrong"/>
        </w:rPr>
        <w:t>Methanation:</w:t>
      </w:r>
      <w:r>
        <w:t xml:space="preserve"> Chemical process converting syngas into methane (CH₄) for renewable natural gas production.</w:t>
      </w:r>
    </w:p>
    <w:p w14:paraId="6BB332F2" w14:textId="77777777" w:rsidR="00D37098" w:rsidRDefault="00D37098">
      <w:pPr>
        <w:pStyle w:val="MdSpace"/>
        <w:spacing w:after="60"/>
      </w:pPr>
    </w:p>
    <w:p w14:paraId="54B65A2F" w14:textId="77777777" w:rsidR="00D37098" w:rsidRDefault="00000000">
      <w:pPr>
        <w:pStyle w:val="MdParagraph"/>
      </w:pPr>
      <w:r>
        <w:rPr>
          <w:rStyle w:val="MdStrong"/>
        </w:rPr>
        <w:t>Nm³ (Normal Cubic Meter):</w:t>
      </w:r>
      <w:r>
        <w:t xml:space="preserve"> Volume of gas at standard temperature (0°C) and pressure (1 </w:t>
      </w:r>
      <w:proofErr w:type="spellStart"/>
      <w:r>
        <w:t>atm</w:t>
      </w:r>
      <w:proofErr w:type="spellEnd"/>
      <w:r>
        <w:t>).</w:t>
      </w:r>
    </w:p>
    <w:p w14:paraId="72AEA90B" w14:textId="77777777" w:rsidR="00D37098" w:rsidRDefault="00D37098">
      <w:pPr>
        <w:pStyle w:val="MdSpace"/>
        <w:spacing w:after="60"/>
      </w:pPr>
    </w:p>
    <w:p w14:paraId="31980162" w14:textId="77777777" w:rsidR="00D37098" w:rsidRDefault="00000000">
      <w:pPr>
        <w:pStyle w:val="MdParagraph"/>
      </w:pPr>
      <w:r>
        <w:rPr>
          <w:rStyle w:val="MdStrong"/>
        </w:rPr>
        <w:lastRenderedPageBreak/>
        <w:t>Particulate Matter (PM):</w:t>
      </w:r>
      <w:r>
        <w:t xml:space="preserve"> Solid particles suspended in gas stream, removed by filtration before syngas use.</w:t>
      </w:r>
    </w:p>
    <w:p w14:paraId="2F79E624" w14:textId="77777777" w:rsidR="00D37098" w:rsidRDefault="00D37098">
      <w:pPr>
        <w:pStyle w:val="MdSpace"/>
        <w:spacing w:after="60"/>
      </w:pPr>
    </w:p>
    <w:p w14:paraId="727ECF3D" w14:textId="77777777" w:rsidR="00D37098" w:rsidRDefault="00000000">
      <w:pPr>
        <w:pStyle w:val="MdParagraph"/>
      </w:pPr>
      <w:r>
        <w:rPr>
          <w:rStyle w:val="MdStrong"/>
        </w:rPr>
        <w:t>PSA (Pressure Swing Adsorption):</w:t>
      </w:r>
      <w:r>
        <w:t xml:space="preserve"> Gas separation process using selective adsorption to produce high-purity hydrogen.</w:t>
      </w:r>
    </w:p>
    <w:p w14:paraId="05E1410A" w14:textId="77777777" w:rsidR="00D37098" w:rsidRDefault="00D37098">
      <w:pPr>
        <w:pStyle w:val="MdSpace"/>
        <w:spacing w:after="60"/>
      </w:pPr>
    </w:p>
    <w:p w14:paraId="2D88C313" w14:textId="77777777" w:rsidR="00D37098" w:rsidRDefault="00000000">
      <w:pPr>
        <w:pStyle w:val="MdParagraph"/>
      </w:pPr>
      <w:r>
        <w:rPr>
          <w:rStyle w:val="MdStrong"/>
        </w:rPr>
        <w:t>Pyrolysis:</w:t>
      </w:r>
      <w:r>
        <w:t xml:space="preserve"> Thermal decomposition of organic material in absence of oxygen, producing gases, liquids, and char.</w:t>
      </w:r>
    </w:p>
    <w:p w14:paraId="72B06A58" w14:textId="77777777" w:rsidR="00D37098" w:rsidRDefault="00D37098">
      <w:pPr>
        <w:pStyle w:val="MdSpace"/>
        <w:spacing w:after="60"/>
      </w:pPr>
    </w:p>
    <w:p w14:paraId="74ECA5E1" w14:textId="77777777" w:rsidR="00D37098" w:rsidRDefault="00000000">
      <w:pPr>
        <w:pStyle w:val="MdParagraph"/>
      </w:pPr>
      <w:r>
        <w:rPr>
          <w:rStyle w:val="MdStrong"/>
        </w:rPr>
        <w:t>RNG (Renewable Natural Gas):</w:t>
      </w:r>
      <w:r>
        <w:t xml:space="preserve"> Methane produced from renewable sources, chemically identical to fossil natural gas.</w:t>
      </w:r>
    </w:p>
    <w:p w14:paraId="35A4A8F1" w14:textId="77777777" w:rsidR="00D37098" w:rsidRDefault="00D37098">
      <w:pPr>
        <w:pStyle w:val="MdSpace"/>
        <w:spacing w:after="60"/>
      </w:pPr>
    </w:p>
    <w:p w14:paraId="08F1F74D" w14:textId="77777777" w:rsidR="00D37098" w:rsidRDefault="00000000">
      <w:pPr>
        <w:pStyle w:val="MdParagraph"/>
      </w:pPr>
      <w:r>
        <w:rPr>
          <w:rStyle w:val="MdStrong"/>
        </w:rPr>
        <w:t>SAF (Sustainable Aviation Fuel):</w:t>
      </w:r>
      <w:r>
        <w:t xml:space="preserve"> Drop-in jet fuel produced from renewable feedstocks, meeting ASTM D7566 specifications.</w:t>
      </w:r>
    </w:p>
    <w:p w14:paraId="45A8FEF8" w14:textId="77777777" w:rsidR="00D37098" w:rsidRDefault="00D37098">
      <w:pPr>
        <w:pStyle w:val="MdSpace"/>
        <w:spacing w:after="60"/>
      </w:pPr>
    </w:p>
    <w:p w14:paraId="7F4A3A32" w14:textId="77777777" w:rsidR="00D37098" w:rsidRDefault="00000000">
      <w:pPr>
        <w:pStyle w:val="MdParagraph"/>
      </w:pPr>
      <w:r>
        <w:rPr>
          <w:rStyle w:val="MdStrong"/>
        </w:rPr>
        <w:t>SOFC (Solid Oxide Fuel Cell):</w:t>
      </w:r>
      <w:r>
        <w:t xml:space="preserve"> High-efficiency electrochemical device converting fuel directly into electricity, requiring ultra-clean fuel.</w:t>
      </w:r>
    </w:p>
    <w:p w14:paraId="5DA782A7" w14:textId="77777777" w:rsidR="00D37098" w:rsidRDefault="00D37098">
      <w:pPr>
        <w:pStyle w:val="MdSpace"/>
        <w:spacing w:after="60"/>
      </w:pPr>
    </w:p>
    <w:p w14:paraId="7E4C2F7C" w14:textId="77777777" w:rsidR="00D37098" w:rsidRDefault="00000000">
      <w:pPr>
        <w:pStyle w:val="MdParagraph"/>
      </w:pPr>
      <w:r>
        <w:rPr>
          <w:rStyle w:val="MdStrong"/>
        </w:rPr>
        <w:t>Syngas (Synthesis Gas):</w:t>
      </w:r>
      <w:r>
        <w:t xml:space="preserve"> Mixture of hydrogen (H₂) and carbon monoxide (CO) produced by gasification, used as fuel or chemical feedstock.</w:t>
      </w:r>
    </w:p>
    <w:p w14:paraId="4BC69AB0" w14:textId="77777777" w:rsidR="00D37098" w:rsidRDefault="00D37098">
      <w:pPr>
        <w:pStyle w:val="MdSpace"/>
        <w:spacing w:after="60"/>
      </w:pPr>
    </w:p>
    <w:p w14:paraId="1D29287B" w14:textId="77777777" w:rsidR="00D37098" w:rsidRDefault="00000000">
      <w:pPr>
        <w:pStyle w:val="MdParagraph"/>
      </w:pPr>
      <w:r>
        <w:rPr>
          <w:rStyle w:val="MdStrong"/>
        </w:rPr>
        <w:t>Tar:</w:t>
      </w:r>
      <w:r>
        <w:t xml:space="preserve"> Complex mixture of condensable hydrocarbons formed during gasification, causing fouling and operational problems if not removed.</w:t>
      </w:r>
    </w:p>
    <w:p w14:paraId="4F02C8A8" w14:textId="77777777" w:rsidR="00D37098" w:rsidRDefault="00D37098">
      <w:pPr>
        <w:pStyle w:val="MdSpace"/>
        <w:spacing w:after="60"/>
      </w:pPr>
    </w:p>
    <w:p w14:paraId="38D8A3EE" w14:textId="77777777" w:rsidR="00D37098" w:rsidRDefault="00000000">
      <w:pPr>
        <w:pStyle w:val="MdParagraph"/>
      </w:pPr>
      <w:r>
        <w:rPr>
          <w:rStyle w:val="MdStrong"/>
        </w:rPr>
        <w:t>Tipping Fee:</w:t>
      </w:r>
      <w:r>
        <w:t xml:space="preserve"> Fee charged for waste disposal, typically $/tonne.</w:t>
      </w:r>
    </w:p>
    <w:p w14:paraId="6A15C590" w14:textId="77777777" w:rsidR="00D37098" w:rsidRDefault="00D37098">
      <w:pPr>
        <w:pStyle w:val="MdSpace"/>
        <w:spacing w:after="60"/>
      </w:pPr>
    </w:p>
    <w:p w14:paraId="604918ED" w14:textId="77777777" w:rsidR="00D37098" w:rsidRDefault="00000000">
      <w:pPr>
        <w:pStyle w:val="MdParagraph"/>
      </w:pPr>
      <w:r>
        <w:rPr>
          <w:rStyle w:val="MdStrong"/>
        </w:rPr>
        <w:t>Water-Gas Shift Reaction:</w:t>
      </w:r>
      <w:r>
        <w:t xml:space="preserve"> Chemical reaction converting CO + H₂O into H₂ + CO₂, used to increase hydrogen yield.</w:t>
      </w:r>
    </w:p>
    <w:p w14:paraId="6F4E2059" w14:textId="77777777" w:rsidR="00D37098" w:rsidRDefault="00D37098">
      <w:pPr>
        <w:pStyle w:val="MdSpace"/>
        <w:spacing w:after="60"/>
      </w:pPr>
    </w:p>
    <w:p w14:paraId="233BF7E3" w14:textId="77777777" w:rsidR="00D37098" w:rsidRDefault="00D37098">
      <w:pPr>
        <w:pStyle w:val="MdHr"/>
        <w:pBdr>
          <w:bottom w:val="single" w:sz="6" w:space="1" w:color="auto"/>
        </w:pBdr>
      </w:pPr>
    </w:p>
    <w:p w14:paraId="4EA17530" w14:textId="77777777" w:rsidR="00D37098" w:rsidRDefault="00D37098">
      <w:pPr>
        <w:pStyle w:val="MdSpace"/>
        <w:spacing w:after="60"/>
      </w:pPr>
    </w:p>
    <w:p w14:paraId="23199558" w14:textId="77777777" w:rsidR="00D37098" w:rsidRDefault="00000000">
      <w:pPr>
        <w:pStyle w:val="MdHeading2"/>
      </w:pPr>
      <w:r>
        <w:t>Appendix B: Key Performance Indicators (KPIs)</w:t>
      </w:r>
    </w:p>
    <w:p w14:paraId="278321D1" w14:textId="77777777" w:rsidR="00D37098" w:rsidRDefault="00000000">
      <w:pPr>
        <w:pStyle w:val="MdParagraph"/>
      </w:pPr>
      <w:r>
        <w:t>Organizations deploying X-150 systems should track the following KPIs to monitor performance and optimize operations:</w:t>
      </w:r>
    </w:p>
    <w:p w14:paraId="6CB52863" w14:textId="77777777" w:rsidR="00D37098" w:rsidRDefault="00D37098">
      <w:pPr>
        <w:pStyle w:val="MdSpace"/>
        <w:spacing w:after="60"/>
      </w:pPr>
    </w:p>
    <w:p w14:paraId="7CDB5985" w14:textId="77777777" w:rsidR="00D37098" w:rsidRDefault="00000000">
      <w:pPr>
        <w:pStyle w:val="MdParagraph"/>
      </w:pPr>
      <w:r>
        <w:rPr>
          <w:rStyle w:val="MdStrong"/>
        </w:rPr>
        <w:t>Operational KPIs:</w:t>
      </w:r>
    </w:p>
    <w:p w14:paraId="06063164" w14:textId="77777777" w:rsidR="00D37098" w:rsidRDefault="00000000">
      <w:pPr>
        <w:pStyle w:val="MdListItem"/>
        <w:numPr>
          <w:ilvl w:val="0"/>
          <w:numId w:val="2"/>
        </w:numPr>
      </w:pPr>
      <w:r>
        <w:rPr>
          <w:rStyle w:val="MdStrong"/>
        </w:rPr>
        <w:t>Availability:</w:t>
      </w:r>
      <w:r>
        <w:t xml:space="preserve"> % of time system is operational (target: &gt;90%)</w:t>
      </w:r>
    </w:p>
    <w:p w14:paraId="36A1765C" w14:textId="77777777" w:rsidR="00D37098" w:rsidRDefault="00000000">
      <w:pPr>
        <w:pStyle w:val="MdListItem"/>
        <w:numPr>
          <w:ilvl w:val="0"/>
          <w:numId w:val="2"/>
        </w:numPr>
      </w:pPr>
      <w:r>
        <w:rPr>
          <w:rStyle w:val="MdStrong"/>
        </w:rPr>
        <w:t>Feedstock Consumption:</w:t>
      </w:r>
      <w:r>
        <w:t xml:space="preserve"> tonnes/day processed (target: 3.6 tonnes/day at rated capacity)</w:t>
      </w:r>
    </w:p>
    <w:p w14:paraId="6B4687A1" w14:textId="77777777" w:rsidR="00D37098" w:rsidRDefault="00000000">
      <w:pPr>
        <w:pStyle w:val="MdListItem"/>
        <w:numPr>
          <w:ilvl w:val="0"/>
          <w:numId w:val="2"/>
        </w:numPr>
      </w:pPr>
      <w:r>
        <w:rPr>
          <w:rStyle w:val="MdStrong"/>
        </w:rPr>
        <w:t>Syngas Production:</w:t>
      </w:r>
      <w:r>
        <w:t xml:space="preserve"> Nm³/hr (target: 650-730 Nm³/hr for wood)</w:t>
      </w:r>
    </w:p>
    <w:p w14:paraId="0BCE0E06" w14:textId="77777777" w:rsidR="00D37098" w:rsidRDefault="00000000">
      <w:pPr>
        <w:pStyle w:val="MdListItem"/>
        <w:numPr>
          <w:ilvl w:val="0"/>
          <w:numId w:val="2"/>
        </w:numPr>
      </w:pPr>
      <w:r>
        <w:rPr>
          <w:rStyle w:val="MdStrong"/>
        </w:rPr>
        <w:t>Syngas Quality:</w:t>
      </w:r>
      <w:r>
        <w:t xml:space="preserve"> H₂ + CO content, tar level (target: &lt;0.5 ppm tar after </w:t>
      </w:r>
      <w:proofErr w:type="spellStart"/>
      <w:r>
        <w:t>SyngaPure</w:t>
      </w:r>
      <w:proofErr w:type="spellEnd"/>
      <w:r>
        <w:t>™)</w:t>
      </w:r>
    </w:p>
    <w:p w14:paraId="7AFCAA42" w14:textId="77777777" w:rsidR="00D37098" w:rsidRDefault="00000000">
      <w:pPr>
        <w:pStyle w:val="MdListItem"/>
        <w:numPr>
          <w:ilvl w:val="0"/>
          <w:numId w:val="2"/>
        </w:numPr>
      </w:pPr>
      <w:r>
        <w:rPr>
          <w:rStyle w:val="MdStrong"/>
        </w:rPr>
        <w:lastRenderedPageBreak/>
        <w:t>Energy Output:</w:t>
      </w:r>
      <w:r>
        <w:t xml:space="preserve"> kW electrical or thermal (target: 150 kW electrical, 450 kW thermal)</w:t>
      </w:r>
    </w:p>
    <w:p w14:paraId="4A1C9B04" w14:textId="77777777" w:rsidR="00D37098" w:rsidRDefault="00000000">
      <w:pPr>
        <w:pStyle w:val="MdListItem"/>
        <w:numPr>
          <w:ilvl w:val="0"/>
          <w:numId w:val="2"/>
        </w:numPr>
      </w:pPr>
      <w:r>
        <w:rPr>
          <w:rStyle w:val="MdStrong"/>
        </w:rPr>
        <w:t>Efficiency:</w:t>
      </w:r>
      <w:r>
        <w:t xml:space="preserve"> % of feedstock energy converted to useful output (target: 85% CHP)</w:t>
      </w:r>
    </w:p>
    <w:p w14:paraId="4673B7CD" w14:textId="77777777" w:rsidR="00D37098" w:rsidRDefault="00D37098">
      <w:pPr>
        <w:pStyle w:val="MdSpace"/>
        <w:spacing w:after="60"/>
      </w:pPr>
    </w:p>
    <w:p w14:paraId="605F1B06" w14:textId="77777777" w:rsidR="00D37098" w:rsidRDefault="00000000">
      <w:pPr>
        <w:pStyle w:val="MdParagraph"/>
      </w:pPr>
      <w:r>
        <w:rPr>
          <w:rStyle w:val="MdStrong"/>
        </w:rPr>
        <w:t>Economic KPIs:</w:t>
      </w:r>
    </w:p>
    <w:p w14:paraId="3B9C9011" w14:textId="77777777" w:rsidR="00D37098" w:rsidRDefault="00000000">
      <w:pPr>
        <w:pStyle w:val="MdListItem"/>
        <w:numPr>
          <w:ilvl w:val="0"/>
          <w:numId w:val="2"/>
        </w:numPr>
      </w:pPr>
      <w:r>
        <w:rPr>
          <w:rStyle w:val="MdStrong"/>
        </w:rPr>
        <w:t>Revenue per Tonne:</w:t>
      </w:r>
      <w:r>
        <w:t xml:space="preserve"> Total revenue / tonnes processed (target: $150-250/tonne)</w:t>
      </w:r>
    </w:p>
    <w:p w14:paraId="004FC2AF" w14:textId="77777777" w:rsidR="00D37098" w:rsidRDefault="00000000">
      <w:pPr>
        <w:pStyle w:val="MdListItem"/>
        <w:numPr>
          <w:ilvl w:val="0"/>
          <w:numId w:val="2"/>
        </w:numPr>
      </w:pPr>
      <w:r>
        <w:rPr>
          <w:rStyle w:val="MdStrong"/>
        </w:rPr>
        <w:t>Operating Cost per Tonne:</w:t>
      </w:r>
      <w:r>
        <w:t xml:space="preserve"> Total </w:t>
      </w:r>
      <w:proofErr w:type="spellStart"/>
      <w:r>
        <w:t>OpEx</w:t>
      </w:r>
      <w:proofErr w:type="spellEnd"/>
      <w:r>
        <w:t xml:space="preserve"> / tonnes processed (target: $10-15/tonne)</w:t>
      </w:r>
    </w:p>
    <w:p w14:paraId="0EEC5346" w14:textId="77777777" w:rsidR="00D37098" w:rsidRDefault="00000000">
      <w:pPr>
        <w:pStyle w:val="MdListItem"/>
        <w:numPr>
          <w:ilvl w:val="0"/>
          <w:numId w:val="2"/>
        </w:numPr>
      </w:pPr>
      <w:r>
        <w:rPr>
          <w:rStyle w:val="MdStrong"/>
        </w:rPr>
        <w:t>EBITDA Margin:</w:t>
      </w:r>
      <w:r>
        <w:t xml:space="preserve"> (Revenue - </w:t>
      </w:r>
      <w:proofErr w:type="spellStart"/>
      <w:r>
        <w:t>OpEx</w:t>
      </w:r>
      <w:proofErr w:type="spellEnd"/>
      <w:r>
        <w:t>) / Revenue (target: &gt;80%)</w:t>
      </w:r>
    </w:p>
    <w:p w14:paraId="1B43518A" w14:textId="77777777" w:rsidR="00D37098" w:rsidRDefault="00000000">
      <w:pPr>
        <w:pStyle w:val="MdListItem"/>
        <w:numPr>
          <w:ilvl w:val="0"/>
          <w:numId w:val="2"/>
        </w:numPr>
      </w:pPr>
      <w:r>
        <w:rPr>
          <w:rStyle w:val="MdStrong"/>
        </w:rPr>
        <w:t>Payback Period:</w:t>
      </w:r>
      <w:r>
        <w:t xml:space="preserve"> </w:t>
      </w:r>
      <w:proofErr w:type="spellStart"/>
      <w:r>
        <w:t>CapEx</w:t>
      </w:r>
      <w:proofErr w:type="spellEnd"/>
      <w:r>
        <w:t xml:space="preserve"> / Annual EBITDA (target: &lt;2 years)</w:t>
      </w:r>
    </w:p>
    <w:p w14:paraId="009BEA51" w14:textId="77777777" w:rsidR="00D37098" w:rsidRDefault="00000000">
      <w:pPr>
        <w:pStyle w:val="MdListItem"/>
        <w:numPr>
          <w:ilvl w:val="0"/>
          <w:numId w:val="2"/>
        </w:numPr>
      </w:pPr>
      <w:r>
        <w:rPr>
          <w:rStyle w:val="MdStrong"/>
        </w:rPr>
        <w:t>IRR:</w:t>
      </w:r>
      <w:r>
        <w:t xml:space="preserve"> Internal rate of return over project life (target: &gt;50%)</w:t>
      </w:r>
    </w:p>
    <w:p w14:paraId="7878E08B" w14:textId="77777777" w:rsidR="00D37098" w:rsidRDefault="00D37098">
      <w:pPr>
        <w:pStyle w:val="MdSpace"/>
        <w:spacing w:after="60"/>
      </w:pPr>
    </w:p>
    <w:p w14:paraId="504B1A66" w14:textId="77777777" w:rsidR="00D37098" w:rsidRDefault="00000000">
      <w:pPr>
        <w:pStyle w:val="MdParagraph"/>
      </w:pPr>
      <w:r>
        <w:rPr>
          <w:rStyle w:val="MdStrong"/>
        </w:rPr>
        <w:t>Environmental KPIs:</w:t>
      </w:r>
    </w:p>
    <w:p w14:paraId="6C40A1A1" w14:textId="77777777" w:rsidR="00D37098" w:rsidRDefault="00000000">
      <w:pPr>
        <w:pStyle w:val="MdListItem"/>
        <w:numPr>
          <w:ilvl w:val="0"/>
          <w:numId w:val="2"/>
        </w:numPr>
      </w:pPr>
      <w:r>
        <w:rPr>
          <w:rStyle w:val="MdStrong"/>
        </w:rPr>
        <w:t>Waste Diverted:</w:t>
      </w:r>
      <w:r>
        <w:t xml:space="preserve"> tonnes diverted from landfill (target: 36,500 tonnes/year)</w:t>
      </w:r>
    </w:p>
    <w:p w14:paraId="068590E2" w14:textId="77777777" w:rsidR="00D37098" w:rsidRDefault="00000000">
      <w:pPr>
        <w:pStyle w:val="MdListItem"/>
        <w:numPr>
          <w:ilvl w:val="0"/>
          <w:numId w:val="2"/>
        </w:numPr>
      </w:pPr>
      <w:r>
        <w:rPr>
          <w:rStyle w:val="MdStrong"/>
        </w:rPr>
        <w:t>GHG Avoided:</w:t>
      </w:r>
      <w:r>
        <w:t xml:space="preserve"> tonnes </w:t>
      </w:r>
      <w:proofErr w:type="spellStart"/>
      <w:r>
        <w:t>CO₂eq</w:t>
      </w:r>
      <w:proofErr w:type="spellEnd"/>
      <w:r>
        <w:t xml:space="preserve"> emissions avoided (target: 30,000+ tonnes/year)</w:t>
      </w:r>
    </w:p>
    <w:p w14:paraId="4D13D716" w14:textId="77777777" w:rsidR="00D37098" w:rsidRDefault="00000000">
      <w:pPr>
        <w:pStyle w:val="MdListItem"/>
        <w:numPr>
          <w:ilvl w:val="0"/>
          <w:numId w:val="2"/>
        </w:numPr>
      </w:pPr>
      <w:r>
        <w:rPr>
          <w:rStyle w:val="MdStrong"/>
        </w:rPr>
        <w:t>Carbon Credits Generated:</w:t>
      </w:r>
      <w:r>
        <w:t xml:space="preserve"> tonnes </w:t>
      </w:r>
      <w:proofErr w:type="spellStart"/>
      <w:r>
        <w:t>CO₂eq</w:t>
      </w:r>
      <w:proofErr w:type="spellEnd"/>
      <w:r>
        <w:t xml:space="preserve"> verified and sold (target: 20,000+ tonnes/year)</w:t>
      </w:r>
    </w:p>
    <w:p w14:paraId="0D2F4E8C" w14:textId="77777777" w:rsidR="00D37098" w:rsidRDefault="00000000">
      <w:pPr>
        <w:pStyle w:val="MdListItem"/>
        <w:numPr>
          <w:ilvl w:val="0"/>
          <w:numId w:val="2"/>
        </w:numPr>
      </w:pPr>
      <w:r>
        <w:rPr>
          <w:rStyle w:val="MdStrong"/>
        </w:rPr>
        <w:t>Biochar Produced:</w:t>
      </w:r>
      <w:r>
        <w:t xml:space="preserve"> tonnes biochar for soil application (target: 1,000-2,000 tonnes/year)</w:t>
      </w:r>
    </w:p>
    <w:p w14:paraId="6AE50562" w14:textId="77777777" w:rsidR="00D37098" w:rsidRDefault="00D37098">
      <w:pPr>
        <w:pStyle w:val="MdSpace"/>
        <w:spacing w:after="60"/>
      </w:pPr>
    </w:p>
    <w:p w14:paraId="6F0C671A" w14:textId="77777777" w:rsidR="00D37098" w:rsidRDefault="00000000">
      <w:pPr>
        <w:pStyle w:val="MdParagraph"/>
      </w:pPr>
      <w:r>
        <w:rPr>
          <w:rStyle w:val="MdStrong"/>
        </w:rPr>
        <w:t>Reliability KPIs:</w:t>
      </w:r>
    </w:p>
    <w:p w14:paraId="49DC3CDE" w14:textId="77777777" w:rsidR="00D37098" w:rsidRDefault="00000000">
      <w:pPr>
        <w:pStyle w:val="MdListItem"/>
        <w:numPr>
          <w:ilvl w:val="0"/>
          <w:numId w:val="2"/>
        </w:numPr>
      </w:pPr>
      <w:r>
        <w:rPr>
          <w:rStyle w:val="MdStrong"/>
        </w:rPr>
        <w:t>Unplanned Downtime:</w:t>
      </w:r>
      <w:r>
        <w:t xml:space="preserve"> hours/year of unscheduled outages (target: &lt;200 hrs/year)</w:t>
      </w:r>
    </w:p>
    <w:p w14:paraId="2117E432" w14:textId="77777777" w:rsidR="00D37098" w:rsidRDefault="00000000">
      <w:pPr>
        <w:pStyle w:val="MdListItem"/>
        <w:numPr>
          <w:ilvl w:val="0"/>
          <w:numId w:val="2"/>
        </w:numPr>
      </w:pPr>
      <w:r>
        <w:rPr>
          <w:rStyle w:val="MdStrong"/>
        </w:rPr>
        <w:t>Mean Time Between Failures (MTBF):</w:t>
      </w:r>
      <w:r>
        <w:t xml:space="preserve"> hours (target: &gt;500 hours)</w:t>
      </w:r>
    </w:p>
    <w:p w14:paraId="2C9A19F2" w14:textId="77777777" w:rsidR="00D37098" w:rsidRDefault="00000000">
      <w:pPr>
        <w:pStyle w:val="MdListItem"/>
        <w:numPr>
          <w:ilvl w:val="0"/>
          <w:numId w:val="2"/>
        </w:numPr>
      </w:pPr>
      <w:r>
        <w:rPr>
          <w:rStyle w:val="MdStrong"/>
        </w:rPr>
        <w:t>Mean Time to Repair (MTTR):</w:t>
      </w:r>
      <w:r>
        <w:t xml:space="preserve"> hours (target: &lt;4 hours)</w:t>
      </w:r>
    </w:p>
    <w:p w14:paraId="2EE23334" w14:textId="77777777" w:rsidR="00D37098" w:rsidRDefault="00000000">
      <w:pPr>
        <w:pStyle w:val="MdListItem"/>
        <w:numPr>
          <w:ilvl w:val="0"/>
          <w:numId w:val="2"/>
        </w:numPr>
      </w:pPr>
      <w:r>
        <w:rPr>
          <w:rStyle w:val="MdStrong"/>
        </w:rPr>
        <w:t>Catalyst Lifetime:</w:t>
      </w:r>
      <w:r>
        <w:t xml:space="preserve"> months between replacements (target: &gt;6 months)</w:t>
      </w:r>
    </w:p>
    <w:p w14:paraId="36D32703" w14:textId="77777777" w:rsidR="00D37098" w:rsidRDefault="00D37098">
      <w:pPr>
        <w:pStyle w:val="MdSpace"/>
        <w:spacing w:after="60"/>
      </w:pPr>
    </w:p>
    <w:p w14:paraId="4300C7A7" w14:textId="77777777" w:rsidR="00D37098" w:rsidRDefault="00D37098">
      <w:pPr>
        <w:pStyle w:val="MdSpace"/>
        <w:spacing w:after="60"/>
      </w:pPr>
    </w:p>
    <w:p w14:paraId="0FF82405" w14:textId="77777777" w:rsidR="00D37098" w:rsidRDefault="00D37098">
      <w:pPr>
        <w:pStyle w:val="MdHr"/>
        <w:pBdr>
          <w:bottom w:val="single" w:sz="6" w:space="1" w:color="auto"/>
        </w:pBdr>
      </w:pPr>
    </w:p>
    <w:p w14:paraId="3D8A844C" w14:textId="77777777" w:rsidR="00D37098" w:rsidRDefault="00D37098">
      <w:pPr>
        <w:pStyle w:val="MdSpace"/>
        <w:spacing w:after="60"/>
      </w:pPr>
    </w:p>
    <w:p w14:paraId="06021F18" w14:textId="77777777" w:rsidR="00D37098" w:rsidRDefault="00000000">
      <w:pPr>
        <w:pStyle w:val="MdParagraph"/>
      </w:pPr>
      <w:r>
        <w:rPr>
          <w:rStyle w:val="MdStrong"/>
        </w:rPr>
        <w:t>Document End</w:t>
      </w:r>
    </w:p>
    <w:p w14:paraId="1A6F9A23" w14:textId="77777777" w:rsidR="00D37098" w:rsidRDefault="00D37098">
      <w:pPr>
        <w:pStyle w:val="MdSpace"/>
        <w:spacing w:after="60"/>
      </w:pPr>
    </w:p>
    <w:p w14:paraId="4678EFF4" w14:textId="77777777" w:rsidR="00D37098" w:rsidRDefault="00000000">
      <w:pPr>
        <w:pStyle w:val="MdParagraph"/>
      </w:pPr>
      <w:r>
        <w:rPr>
          <w:rStyle w:val="MdEm"/>
        </w:rPr>
        <w:t>This document is confidential and proprietary to Zero-X Technologies. All technical data, business information, and performance specifications are subject to change based on ongoing development and testing. For the most current information, please contact Zero-X Technologies directly.</w:t>
      </w:r>
    </w:p>
    <w:sectPr w:rsidR="00D3709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2BBA"/>
    <w:multiLevelType w:val="hybridMultilevel"/>
    <w:tmpl w:val="83446ECA"/>
    <w:lvl w:ilvl="0" w:tplc="9418D52C">
      <w:start w:val="1"/>
      <w:numFmt w:val="bullet"/>
      <w:lvlText w:val="•"/>
      <w:lvlJc w:val="left"/>
      <w:pPr>
        <w:ind w:left="720" w:hanging="360"/>
      </w:pPr>
    </w:lvl>
    <w:lvl w:ilvl="1" w:tplc="9F285E50">
      <w:start w:val="1"/>
      <w:numFmt w:val="bullet"/>
      <w:lvlText w:val="◦"/>
      <w:lvlJc w:val="left"/>
      <w:pPr>
        <w:ind w:left="1440" w:hanging="360"/>
      </w:pPr>
    </w:lvl>
    <w:lvl w:ilvl="2" w:tplc="B166056C">
      <w:start w:val="1"/>
      <w:numFmt w:val="bullet"/>
      <w:lvlText w:val="•"/>
      <w:lvlJc w:val="left"/>
      <w:pPr>
        <w:ind w:left="2160" w:hanging="360"/>
      </w:pPr>
    </w:lvl>
    <w:lvl w:ilvl="3" w:tplc="7DF235F6">
      <w:start w:val="1"/>
      <w:numFmt w:val="bullet"/>
      <w:lvlText w:val="◦"/>
      <w:lvlJc w:val="left"/>
      <w:pPr>
        <w:ind w:left="2880" w:hanging="360"/>
      </w:pPr>
    </w:lvl>
    <w:lvl w:ilvl="4" w:tplc="A30226A8">
      <w:start w:val="1"/>
      <w:numFmt w:val="bullet"/>
      <w:lvlText w:val="•"/>
      <w:lvlJc w:val="left"/>
      <w:pPr>
        <w:ind w:left="3600" w:hanging="360"/>
      </w:pPr>
    </w:lvl>
    <w:lvl w:ilvl="5" w:tplc="7302AAF6">
      <w:start w:val="1"/>
      <w:numFmt w:val="bullet"/>
      <w:lvlText w:val="◦"/>
      <w:lvlJc w:val="left"/>
      <w:pPr>
        <w:ind w:left="4320" w:hanging="360"/>
      </w:pPr>
    </w:lvl>
    <w:lvl w:ilvl="6" w:tplc="0BF6192A">
      <w:start w:val="1"/>
      <w:numFmt w:val="bullet"/>
      <w:lvlText w:val="•"/>
      <w:lvlJc w:val="left"/>
      <w:pPr>
        <w:ind w:left="5040" w:hanging="360"/>
      </w:pPr>
    </w:lvl>
    <w:lvl w:ilvl="7" w:tplc="AB10F212">
      <w:numFmt w:val="decimal"/>
      <w:lvlText w:val=""/>
      <w:lvlJc w:val="left"/>
    </w:lvl>
    <w:lvl w:ilvl="8" w:tplc="6148A6E6">
      <w:numFmt w:val="decimal"/>
      <w:lvlText w:val=""/>
      <w:lvlJc w:val="left"/>
    </w:lvl>
  </w:abstractNum>
  <w:abstractNum w:abstractNumId="1" w15:restartNumberingAfterBreak="0">
    <w:nsid w:val="7ABA023A"/>
    <w:multiLevelType w:val="hybridMultilevel"/>
    <w:tmpl w:val="4CCED3A2"/>
    <w:lvl w:ilvl="0" w:tplc="808C0550">
      <w:start w:val="1"/>
      <w:numFmt w:val="bullet"/>
      <w:lvlText w:val="●"/>
      <w:lvlJc w:val="left"/>
      <w:pPr>
        <w:ind w:left="720" w:hanging="360"/>
      </w:pPr>
    </w:lvl>
    <w:lvl w:ilvl="1" w:tplc="31B8BD92">
      <w:start w:val="1"/>
      <w:numFmt w:val="bullet"/>
      <w:lvlText w:val="○"/>
      <w:lvlJc w:val="left"/>
      <w:pPr>
        <w:ind w:left="1440" w:hanging="360"/>
      </w:pPr>
    </w:lvl>
    <w:lvl w:ilvl="2" w:tplc="38687084">
      <w:start w:val="1"/>
      <w:numFmt w:val="bullet"/>
      <w:lvlText w:val="■"/>
      <w:lvlJc w:val="left"/>
      <w:pPr>
        <w:ind w:left="2160" w:hanging="360"/>
      </w:pPr>
    </w:lvl>
    <w:lvl w:ilvl="3" w:tplc="1AC207A2">
      <w:start w:val="1"/>
      <w:numFmt w:val="bullet"/>
      <w:lvlText w:val="●"/>
      <w:lvlJc w:val="left"/>
      <w:pPr>
        <w:ind w:left="2880" w:hanging="360"/>
      </w:pPr>
    </w:lvl>
    <w:lvl w:ilvl="4" w:tplc="38546A42">
      <w:start w:val="1"/>
      <w:numFmt w:val="bullet"/>
      <w:lvlText w:val="○"/>
      <w:lvlJc w:val="left"/>
      <w:pPr>
        <w:ind w:left="3600" w:hanging="360"/>
      </w:pPr>
    </w:lvl>
    <w:lvl w:ilvl="5" w:tplc="D07CD106">
      <w:start w:val="1"/>
      <w:numFmt w:val="bullet"/>
      <w:lvlText w:val="■"/>
      <w:lvlJc w:val="left"/>
      <w:pPr>
        <w:ind w:left="4320" w:hanging="360"/>
      </w:pPr>
    </w:lvl>
    <w:lvl w:ilvl="6" w:tplc="8E585660">
      <w:start w:val="1"/>
      <w:numFmt w:val="bullet"/>
      <w:lvlText w:val="●"/>
      <w:lvlJc w:val="left"/>
      <w:pPr>
        <w:ind w:left="5040" w:hanging="360"/>
      </w:pPr>
    </w:lvl>
    <w:lvl w:ilvl="7" w:tplc="1E421B46">
      <w:start w:val="1"/>
      <w:numFmt w:val="bullet"/>
      <w:lvlText w:val="●"/>
      <w:lvlJc w:val="left"/>
      <w:pPr>
        <w:ind w:left="5760" w:hanging="360"/>
      </w:pPr>
    </w:lvl>
    <w:lvl w:ilvl="8" w:tplc="973A020C">
      <w:start w:val="1"/>
      <w:numFmt w:val="bullet"/>
      <w:lvlText w:val="●"/>
      <w:lvlJc w:val="left"/>
      <w:pPr>
        <w:ind w:left="6480" w:hanging="360"/>
      </w:pPr>
    </w:lvl>
  </w:abstractNum>
  <w:abstractNum w:abstractNumId="2" w15:restartNumberingAfterBreak="0">
    <w:nsid w:val="7E6421B1"/>
    <w:multiLevelType w:val="multilevel"/>
    <w:tmpl w:val="94389E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87734377">
    <w:abstractNumId w:val="1"/>
    <w:lvlOverride w:ilvl="0">
      <w:startOverride w:val="1"/>
    </w:lvlOverride>
  </w:num>
  <w:num w:numId="2" w16cid:durableId="1243833502">
    <w:abstractNumId w:val="0"/>
    <w:lvlOverride w:ilvl="0">
      <w:startOverride w:val="1"/>
    </w:lvlOverride>
  </w:num>
  <w:num w:numId="3" w16cid:durableId="18609230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98"/>
    <w:rsid w:val="002F6F7C"/>
    <w:rsid w:val="00A072B1"/>
    <w:rsid w:val="00C25393"/>
    <w:rsid w:val="00D37098"/>
    <w:rsid w:val="00DA64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66A3"/>
  <w15:docId w15:val="{98D5EA08-955C-4FBC-B089-9E553A6E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8052</Words>
  <Characters>45901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ILLEGEAR</cp:lastModifiedBy>
  <cp:revision>3</cp:revision>
  <dcterms:created xsi:type="dcterms:W3CDTF">2025-11-12T06:26:00Z</dcterms:created>
  <dcterms:modified xsi:type="dcterms:W3CDTF">2025-11-12T06:40:00Z</dcterms:modified>
</cp:coreProperties>
</file>